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AD6" w:rsidRPr="005A3773" w:rsidRDefault="006F7335" w:rsidP="00B74AD6">
      <w:pPr>
        <w:pStyle w:val="Corpodetexto3"/>
        <w:spacing w:line="360" w:lineRule="auto"/>
        <w:ind w:firstLine="708"/>
        <w:jc w:val="center"/>
        <w:rPr>
          <w:rFonts w:ascii="Times New Roman" w:hAnsi="Times New Roman"/>
          <w:b/>
          <w:sz w:val="24"/>
          <w:szCs w:val="24"/>
        </w:rPr>
      </w:pPr>
      <w:r w:rsidRPr="005A3773">
        <w:rPr>
          <w:rFonts w:ascii="Times New Roman" w:hAnsi="Times New Roman"/>
          <w:b/>
          <w:sz w:val="24"/>
          <w:szCs w:val="24"/>
        </w:rPr>
        <w:t>Eficácia anti-helmí</w:t>
      </w:r>
      <w:r w:rsidR="00887209" w:rsidRPr="005A3773">
        <w:rPr>
          <w:rFonts w:ascii="Times New Roman" w:hAnsi="Times New Roman"/>
          <w:b/>
          <w:sz w:val="24"/>
          <w:szCs w:val="24"/>
        </w:rPr>
        <w:t xml:space="preserve">ntica </w:t>
      </w:r>
      <w:r w:rsidR="00887209" w:rsidRPr="005A3773">
        <w:rPr>
          <w:rFonts w:ascii="Times New Roman" w:hAnsi="Times New Roman"/>
          <w:b/>
          <w:i/>
          <w:sz w:val="24"/>
          <w:szCs w:val="24"/>
        </w:rPr>
        <w:t>in vitro</w:t>
      </w:r>
      <w:r w:rsidR="00887209" w:rsidRPr="005A3773">
        <w:rPr>
          <w:rFonts w:ascii="Times New Roman" w:hAnsi="Times New Roman"/>
          <w:b/>
          <w:sz w:val="24"/>
          <w:szCs w:val="24"/>
        </w:rPr>
        <w:t xml:space="preserve"> do extrato</w:t>
      </w:r>
      <w:r w:rsidRPr="005A3773">
        <w:rPr>
          <w:rFonts w:ascii="Times New Roman" w:hAnsi="Times New Roman"/>
          <w:b/>
          <w:sz w:val="24"/>
          <w:szCs w:val="24"/>
        </w:rPr>
        <w:t xml:space="preserve"> etanólico</w:t>
      </w:r>
      <w:r w:rsidR="00887209" w:rsidRPr="005A3773">
        <w:rPr>
          <w:rFonts w:ascii="Times New Roman" w:hAnsi="Times New Roman"/>
          <w:b/>
          <w:sz w:val="24"/>
          <w:szCs w:val="24"/>
        </w:rPr>
        <w:t xml:space="preserve"> de </w:t>
      </w:r>
      <w:r w:rsidR="00BC69C3" w:rsidRPr="005A3773">
        <w:rPr>
          <w:rFonts w:ascii="Times New Roman" w:hAnsi="Times New Roman"/>
          <w:b/>
          <w:i/>
          <w:sz w:val="24"/>
          <w:szCs w:val="24"/>
        </w:rPr>
        <w:t>Operculina</w:t>
      </w:r>
      <w:r w:rsidR="00BC69C3" w:rsidRPr="005A3773">
        <w:rPr>
          <w:rFonts w:ascii="Times New Roman" w:hAnsi="Times New Roman"/>
          <w:b/>
          <w:sz w:val="24"/>
          <w:szCs w:val="24"/>
        </w:rPr>
        <w:t xml:space="preserve"> </w:t>
      </w:r>
      <w:r w:rsidR="00BC69C3" w:rsidRPr="005A3773">
        <w:rPr>
          <w:rFonts w:ascii="Times New Roman" w:hAnsi="Times New Roman"/>
          <w:b/>
          <w:i/>
          <w:sz w:val="24"/>
          <w:szCs w:val="24"/>
        </w:rPr>
        <w:t xml:space="preserve">hamiltonii </w:t>
      </w:r>
      <w:r w:rsidR="00BC69C3" w:rsidRPr="005A3773">
        <w:rPr>
          <w:rFonts w:ascii="Times New Roman" w:hAnsi="Times New Roman"/>
          <w:b/>
          <w:sz w:val="24"/>
          <w:szCs w:val="24"/>
        </w:rPr>
        <w:t>(G. DON) D.F. Austin &amp; Staples (1983)</w:t>
      </w:r>
      <w:r w:rsidR="00BC69C3" w:rsidRPr="005A3773">
        <w:rPr>
          <w:rFonts w:ascii="Times New Roman" w:hAnsi="Times New Roman"/>
          <w:b/>
          <w:i/>
          <w:sz w:val="24"/>
          <w:szCs w:val="24"/>
        </w:rPr>
        <w:t xml:space="preserve"> - </w:t>
      </w:r>
      <w:r w:rsidR="00BC69C3" w:rsidRPr="005A3773">
        <w:rPr>
          <w:rFonts w:ascii="Times New Roman" w:hAnsi="Times New Roman"/>
          <w:b/>
          <w:sz w:val="24"/>
          <w:szCs w:val="24"/>
        </w:rPr>
        <w:t>Batata de purga</w:t>
      </w:r>
    </w:p>
    <w:p w:rsidR="006F7335" w:rsidRPr="005A3773" w:rsidRDefault="006F7335" w:rsidP="00B74AD6">
      <w:pPr>
        <w:pStyle w:val="Corpodetexto3"/>
        <w:spacing w:line="360" w:lineRule="auto"/>
        <w:ind w:firstLine="708"/>
        <w:jc w:val="center"/>
        <w:rPr>
          <w:rFonts w:ascii="Times New Roman" w:hAnsi="Times New Roman"/>
          <w:sz w:val="24"/>
          <w:szCs w:val="24"/>
        </w:rPr>
      </w:pPr>
      <w:r w:rsidRPr="005A3773">
        <w:rPr>
          <w:rFonts w:ascii="Times New Roman" w:hAnsi="Times New Roman"/>
          <w:sz w:val="24"/>
          <w:szCs w:val="24"/>
        </w:rPr>
        <w:t>(</w:t>
      </w:r>
      <w:r w:rsidR="00E71C00" w:rsidRPr="005A3773">
        <w:rPr>
          <w:rFonts w:ascii="Times New Roman" w:hAnsi="Times New Roman"/>
          <w:sz w:val="24"/>
          <w:szCs w:val="24"/>
        </w:rPr>
        <w:t xml:space="preserve">ANTHELMITIC EFECTIVENESS </w:t>
      </w:r>
      <w:r w:rsidR="00E71C00" w:rsidRPr="005A3773">
        <w:rPr>
          <w:rFonts w:ascii="Times New Roman" w:hAnsi="Times New Roman"/>
          <w:i/>
          <w:sz w:val="24"/>
          <w:szCs w:val="24"/>
        </w:rPr>
        <w:t xml:space="preserve">in vitro </w:t>
      </w:r>
      <w:r w:rsidR="00E71C00" w:rsidRPr="005A3773">
        <w:rPr>
          <w:rFonts w:ascii="Times New Roman" w:hAnsi="Times New Roman"/>
          <w:sz w:val="24"/>
          <w:szCs w:val="24"/>
        </w:rPr>
        <w:t xml:space="preserve">OF ETHANOLICAL EXTRACTS OF </w:t>
      </w:r>
      <w:r w:rsidR="00BC69C3" w:rsidRPr="005A3773">
        <w:rPr>
          <w:rFonts w:ascii="Times New Roman" w:hAnsi="Times New Roman"/>
          <w:i/>
          <w:sz w:val="24"/>
          <w:szCs w:val="24"/>
        </w:rPr>
        <w:t>Operculina</w:t>
      </w:r>
      <w:r w:rsidR="00BC69C3" w:rsidRPr="005A3773">
        <w:rPr>
          <w:rFonts w:ascii="Times New Roman" w:hAnsi="Times New Roman"/>
          <w:sz w:val="24"/>
          <w:szCs w:val="24"/>
        </w:rPr>
        <w:t xml:space="preserve"> </w:t>
      </w:r>
      <w:r w:rsidR="00BC69C3" w:rsidRPr="005A3773">
        <w:rPr>
          <w:rFonts w:ascii="Times New Roman" w:hAnsi="Times New Roman"/>
          <w:i/>
          <w:sz w:val="24"/>
          <w:szCs w:val="24"/>
        </w:rPr>
        <w:t xml:space="preserve">hamiltonii </w:t>
      </w:r>
      <w:r w:rsidR="00BC69C3" w:rsidRPr="005A3773">
        <w:rPr>
          <w:rFonts w:ascii="Times New Roman" w:hAnsi="Times New Roman"/>
          <w:sz w:val="24"/>
          <w:szCs w:val="24"/>
        </w:rPr>
        <w:t xml:space="preserve">(G. DON) D.F. Austin &amp; Staples (1983) </w:t>
      </w:r>
      <w:r w:rsidR="00E71C00" w:rsidRPr="005A3773">
        <w:rPr>
          <w:rFonts w:ascii="Times New Roman" w:hAnsi="Times New Roman"/>
          <w:i/>
          <w:sz w:val="24"/>
          <w:szCs w:val="24"/>
        </w:rPr>
        <w:t>– BATATA DE PURGA</w:t>
      </w:r>
    </w:p>
    <w:p w:rsidR="00887209" w:rsidRPr="005A3773" w:rsidRDefault="003D6C20" w:rsidP="003D6C20">
      <w:pPr>
        <w:pStyle w:val="Corpodetexto3"/>
        <w:spacing w:line="360" w:lineRule="auto"/>
        <w:ind w:firstLine="708"/>
        <w:jc w:val="center"/>
        <w:rPr>
          <w:rFonts w:ascii="Times New Roman" w:hAnsi="Times New Roman"/>
          <w:sz w:val="24"/>
          <w:szCs w:val="24"/>
          <w:vertAlign w:val="superscript"/>
        </w:rPr>
      </w:pPr>
      <w:r w:rsidRPr="005A3773">
        <w:rPr>
          <w:rFonts w:ascii="Times New Roman" w:hAnsi="Times New Roman"/>
          <w:sz w:val="24"/>
          <w:szCs w:val="24"/>
        </w:rPr>
        <w:t>M. M. ARAÚJO</w:t>
      </w:r>
      <w:r w:rsidRPr="005A3773">
        <w:rPr>
          <w:rFonts w:ascii="Times New Roman" w:hAnsi="Times New Roman"/>
          <w:sz w:val="24"/>
          <w:szCs w:val="24"/>
          <w:vertAlign w:val="superscript"/>
        </w:rPr>
        <w:t>1*</w:t>
      </w:r>
      <w:r w:rsidRPr="005A3773">
        <w:rPr>
          <w:rFonts w:ascii="Times New Roman" w:hAnsi="Times New Roman"/>
          <w:sz w:val="24"/>
          <w:szCs w:val="24"/>
        </w:rPr>
        <w:t>, V. L. R. VILELA</w:t>
      </w:r>
      <w:r w:rsidRPr="005A3773">
        <w:rPr>
          <w:rFonts w:ascii="Times New Roman" w:hAnsi="Times New Roman"/>
          <w:sz w:val="24"/>
          <w:szCs w:val="24"/>
          <w:vertAlign w:val="superscript"/>
        </w:rPr>
        <w:t>2</w:t>
      </w:r>
      <w:r w:rsidRPr="005A3773">
        <w:rPr>
          <w:rFonts w:ascii="Times New Roman" w:hAnsi="Times New Roman"/>
          <w:sz w:val="24"/>
          <w:szCs w:val="24"/>
        </w:rPr>
        <w:t>, W. A. SILVA</w:t>
      </w:r>
      <w:r w:rsidRPr="005A3773">
        <w:rPr>
          <w:rFonts w:ascii="Times New Roman" w:hAnsi="Times New Roman"/>
          <w:sz w:val="24"/>
          <w:szCs w:val="24"/>
          <w:vertAlign w:val="superscript"/>
        </w:rPr>
        <w:t>2</w:t>
      </w:r>
      <w:r w:rsidRPr="005A3773">
        <w:rPr>
          <w:rFonts w:ascii="Times New Roman" w:hAnsi="Times New Roman"/>
          <w:sz w:val="24"/>
          <w:szCs w:val="24"/>
        </w:rPr>
        <w:t>, R. V. R. SOUSA</w:t>
      </w:r>
      <w:r w:rsidRPr="005A3773">
        <w:rPr>
          <w:rFonts w:ascii="Times New Roman" w:hAnsi="Times New Roman"/>
          <w:sz w:val="24"/>
          <w:szCs w:val="24"/>
          <w:vertAlign w:val="superscript"/>
        </w:rPr>
        <w:t>2</w:t>
      </w:r>
      <w:r w:rsidRPr="005A3773">
        <w:rPr>
          <w:rFonts w:ascii="Times New Roman" w:hAnsi="Times New Roman"/>
          <w:sz w:val="24"/>
          <w:szCs w:val="24"/>
        </w:rPr>
        <w:t>, T. F. FEITOSA</w:t>
      </w:r>
      <w:r w:rsidRPr="005A3773">
        <w:rPr>
          <w:rFonts w:ascii="Times New Roman" w:hAnsi="Times New Roman"/>
          <w:sz w:val="24"/>
          <w:szCs w:val="24"/>
          <w:vertAlign w:val="superscript"/>
        </w:rPr>
        <w:t>2</w:t>
      </w:r>
      <w:r w:rsidRPr="005A3773">
        <w:rPr>
          <w:rFonts w:ascii="Times New Roman" w:hAnsi="Times New Roman"/>
          <w:sz w:val="24"/>
          <w:szCs w:val="24"/>
        </w:rPr>
        <w:t>, A. C. R. ATHAYDE</w:t>
      </w:r>
      <w:r w:rsidRPr="005A3773">
        <w:rPr>
          <w:rFonts w:ascii="Times New Roman" w:hAnsi="Times New Roman"/>
          <w:sz w:val="24"/>
          <w:szCs w:val="24"/>
          <w:vertAlign w:val="superscript"/>
        </w:rPr>
        <w:t>2</w:t>
      </w:r>
    </w:p>
    <w:p w:rsidR="006F7335" w:rsidRPr="005A3773" w:rsidRDefault="005A332F" w:rsidP="007B43C1">
      <w:pPr>
        <w:spacing w:line="360" w:lineRule="auto"/>
        <w:jc w:val="both"/>
        <w:rPr>
          <w:b/>
        </w:rPr>
      </w:pPr>
      <w:r w:rsidRPr="005A3773">
        <w:rPr>
          <w:b/>
        </w:rPr>
        <w:t>RESUMO</w:t>
      </w:r>
    </w:p>
    <w:p w:rsidR="00E15916" w:rsidRPr="005A3773" w:rsidRDefault="00887209" w:rsidP="007B43C1">
      <w:pPr>
        <w:spacing w:line="360" w:lineRule="auto"/>
        <w:jc w:val="both"/>
      </w:pPr>
      <w:r w:rsidRPr="005A3773">
        <w:t xml:space="preserve"> </w:t>
      </w:r>
      <w:r w:rsidR="00E15916" w:rsidRPr="005A3773">
        <w:t xml:space="preserve">O experimento </w:t>
      </w:r>
      <w:r w:rsidR="00E15916" w:rsidRPr="005A3773">
        <w:rPr>
          <w:i/>
        </w:rPr>
        <w:t xml:space="preserve">in vitro </w:t>
      </w:r>
      <w:r w:rsidR="00E15916" w:rsidRPr="005A3773">
        <w:t xml:space="preserve">foi realizado para avaliar a ação do extrato etanólico da Batata de purga </w:t>
      </w:r>
      <w:r w:rsidR="00BC69C3" w:rsidRPr="005A3773">
        <w:t xml:space="preserve">- </w:t>
      </w:r>
      <w:r w:rsidR="00BC69C3" w:rsidRPr="005A3773">
        <w:rPr>
          <w:i/>
        </w:rPr>
        <w:t>Operculina</w:t>
      </w:r>
      <w:r w:rsidR="00BC69C3" w:rsidRPr="005A3773">
        <w:t xml:space="preserve"> </w:t>
      </w:r>
      <w:r w:rsidR="00BC69C3" w:rsidRPr="005A3773">
        <w:rPr>
          <w:i/>
        </w:rPr>
        <w:t xml:space="preserve">hamiltonii </w:t>
      </w:r>
      <w:r w:rsidR="00BC69C3" w:rsidRPr="005A3773">
        <w:t xml:space="preserve">(G. DON) D.F. Austin &amp; Staples (1983), </w:t>
      </w:r>
      <w:r w:rsidR="00E15916" w:rsidRPr="005A3773">
        <w:t>sobre ovos e larvas de nematóides gastrintestinais de caprinos. A recuperação dos ovos foi realizada em tamises e as larvas foram obtidas por meio de coproculturas, a partir de fezes de caprinos naturalmente infectados da mesorregião do Sertão Paraibano. O extrato foi utilizado nas concentrações de 50; 25; 12,5; 6,25 e 3,12 mg.mL</w:t>
      </w:r>
      <w:r w:rsidR="00E15916" w:rsidRPr="005A3773">
        <w:rPr>
          <w:vertAlign w:val="superscript"/>
        </w:rPr>
        <w:t>-1</w:t>
      </w:r>
      <w:r w:rsidR="00E15916" w:rsidRPr="005A3773">
        <w:t xml:space="preserve"> para ambos os testes e como controle positivo 0,2 mg.kg</w:t>
      </w:r>
      <w:r w:rsidR="00E15916" w:rsidRPr="005A3773">
        <w:rPr>
          <w:rStyle w:val="Refdenotaderodap"/>
        </w:rPr>
        <w:footnoteReference w:id="2"/>
      </w:r>
      <w:r w:rsidR="00E15916" w:rsidRPr="005A3773">
        <w:t xml:space="preserve"> de moxidectina e para testemunha, utilizou-se água destilada estéril. </w:t>
      </w:r>
      <w:r w:rsidR="00E15916" w:rsidRPr="005A3773">
        <w:rPr>
          <w:rFonts w:eastAsia="Calibri"/>
          <w:lang w:eastAsia="en-US"/>
        </w:rPr>
        <w:t>As placas foram examinadas ao microscópio óptico para contagem dos ovos em desenvolvimento e larvas móveis e imóveis, após 24 h, 48 h e 72 h de incubação. As concentrações do extrato etanólico da Batata de purga e os tratamentos testemunha e fármaco diferiram quanto ao número de ovos inviáveis e no teste de motilidade larval.</w:t>
      </w:r>
      <w:r w:rsidR="00B176F1" w:rsidRPr="005A3773">
        <w:rPr>
          <w:rFonts w:eastAsia="Calibri"/>
          <w:lang w:eastAsia="en-US"/>
        </w:rPr>
        <w:t xml:space="preserve"> O</w:t>
      </w:r>
      <w:r w:rsidR="00E15916" w:rsidRPr="005A3773">
        <w:rPr>
          <w:bCs/>
        </w:rPr>
        <w:t xml:space="preserve"> percentual de ovos viáveis decresceu com o aumento da concentração do extrato de</w:t>
      </w:r>
      <w:r w:rsidR="00E15916" w:rsidRPr="005A3773">
        <w:rPr>
          <w:bCs/>
          <w:i/>
        </w:rPr>
        <w:t xml:space="preserve"> </w:t>
      </w:r>
      <w:r w:rsidR="00840055" w:rsidRPr="005A3773">
        <w:rPr>
          <w:bCs/>
        </w:rPr>
        <w:t>Batata de purga</w:t>
      </w:r>
      <w:r w:rsidR="00E15916" w:rsidRPr="005A3773">
        <w:rPr>
          <w:bCs/>
        </w:rPr>
        <w:t>, e que a partir da concentração de 25% do extrato, o percentual de ovos viáveis caiu para 39,72%, chegando a 29,57% na concentração de 50%, valores estes inferiores e significativos quando comparados com o controle positivo e negativo</w:t>
      </w:r>
      <w:r w:rsidR="00B176F1" w:rsidRPr="005A3773">
        <w:rPr>
          <w:bCs/>
        </w:rPr>
        <w:t xml:space="preserve">. </w:t>
      </w:r>
      <w:r w:rsidR="00E15916" w:rsidRPr="005A3773">
        <w:t xml:space="preserve">A concentração do extrato da Batata de purga foi responsável pela redução no percentual de larvas viáveis, onde se observa que o extrato na concentração de 50% foi capaz de </w:t>
      </w:r>
      <w:r w:rsidR="00961E6E" w:rsidRPr="005A3773">
        <w:t>afetar negativamente</w:t>
      </w:r>
      <w:r w:rsidR="00E15916" w:rsidRPr="005A3773">
        <w:t xml:space="preserve"> 63,11% das larvas</w:t>
      </w:r>
      <w:r w:rsidR="00B176F1" w:rsidRPr="005A3773">
        <w:t>.</w:t>
      </w:r>
    </w:p>
    <w:p w:rsidR="00B176F1" w:rsidRPr="005A3773" w:rsidRDefault="00B176F1" w:rsidP="007B43C1">
      <w:pPr>
        <w:spacing w:line="360" w:lineRule="auto"/>
        <w:jc w:val="both"/>
      </w:pPr>
      <w:r w:rsidRPr="005A3773">
        <w:t xml:space="preserve">Palavras-chave: </w:t>
      </w:r>
      <w:r w:rsidR="00BC69C3" w:rsidRPr="005A3773">
        <w:t>Caprinocultura. H</w:t>
      </w:r>
      <w:r w:rsidRPr="005A3773">
        <w:t>elmintoses gastrintestinais</w:t>
      </w:r>
      <w:r w:rsidR="00BC69C3" w:rsidRPr="005A3773">
        <w:t>. F</w:t>
      </w:r>
      <w:r w:rsidRPr="005A3773">
        <w:t>itoterapia</w:t>
      </w:r>
      <w:r w:rsidR="00BC69C3" w:rsidRPr="005A3773">
        <w:t>.</w:t>
      </w:r>
    </w:p>
    <w:p w:rsidR="00B176F1" w:rsidRPr="005A3773" w:rsidRDefault="00B176F1" w:rsidP="007B43C1">
      <w:pPr>
        <w:spacing w:line="360" w:lineRule="auto"/>
        <w:jc w:val="center"/>
      </w:pPr>
    </w:p>
    <w:p w:rsidR="00BC69C3" w:rsidRDefault="00BC69C3" w:rsidP="007B43C1">
      <w:pPr>
        <w:spacing w:line="360" w:lineRule="auto"/>
        <w:jc w:val="center"/>
      </w:pPr>
    </w:p>
    <w:p w:rsidR="0089780F" w:rsidRPr="005A3773" w:rsidRDefault="0089780F" w:rsidP="007B43C1">
      <w:pPr>
        <w:spacing w:line="360" w:lineRule="auto"/>
        <w:jc w:val="center"/>
      </w:pPr>
    </w:p>
    <w:p w:rsidR="006F7335" w:rsidRPr="005A3773" w:rsidRDefault="006F7335" w:rsidP="007B43C1">
      <w:pPr>
        <w:spacing w:line="360" w:lineRule="auto"/>
        <w:jc w:val="both"/>
        <w:rPr>
          <w:b/>
          <w:lang w:val="en-US"/>
        </w:rPr>
      </w:pPr>
      <w:r w:rsidRPr="005A3773">
        <w:rPr>
          <w:b/>
          <w:lang w:val="en-US"/>
        </w:rPr>
        <w:lastRenderedPageBreak/>
        <w:t>SUMMARY</w:t>
      </w:r>
    </w:p>
    <w:p w:rsidR="00081E83" w:rsidRPr="005A3773" w:rsidRDefault="00081E83" w:rsidP="007B43C1">
      <w:pPr>
        <w:spacing w:line="360" w:lineRule="auto"/>
        <w:jc w:val="both"/>
        <w:rPr>
          <w:rFonts w:eastAsia="Calibri"/>
          <w:lang w:val="en-US" w:eastAsia="en-US"/>
        </w:rPr>
      </w:pPr>
      <w:r w:rsidRPr="005A3773">
        <w:rPr>
          <w:lang w:val="en-US"/>
        </w:rPr>
        <w:t xml:space="preserve">The experiment </w:t>
      </w:r>
      <w:r w:rsidRPr="005A3773">
        <w:rPr>
          <w:i/>
          <w:lang w:val="en-US"/>
        </w:rPr>
        <w:t>in vitro</w:t>
      </w:r>
      <w:r w:rsidRPr="005A3773">
        <w:rPr>
          <w:lang w:val="en-US"/>
        </w:rPr>
        <w:t xml:space="preserve"> was realized to evaluate the action of the etanolical extract of </w:t>
      </w:r>
      <w:r w:rsidR="00840055" w:rsidRPr="005A3773">
        <w:rPr>
          <w:i/>
        </w:rPr>
        <w:t>Operculina</w:t>
      </w:r>
      <w:r w:rsidR="00840055" w:rsidRPr="005A3773">
        <w:t xml:space="preserve"> </w:t>
      </w:r>
      <w:r w:rsidR="00840055" w:rsidRPr="005A3773">
        <w:rPr>
          <w:i/>
        </w:rPr>
        <w:t xml:space="preserve">hamiltonii </w:t>
      </w:r>
      <w:r w:rsidR="00840055" w:rsidRPr="005A3773">
        <w:t>(G. DON) D.F. Austin &amp; Staples (1983) -B</w:t>
      </w:r>
      <w:r w:rsidR="00840055" w:rsidRPr="005A3773">
        <w:rPr>
          <w:lang w:val="en-US"/>
        </w:rPr>
        <w:t xml:space="preserve">atata de purga </w:t>
      </w:r>
      <w:r w:rsidRPr="005A3773">
        <w:rPr>
          <w:lang w:val="en-US"/>
        </w:rPr>
        <w:t>on eggs and larvae of gastrointestinal nematodes of goats.The recovery of the eggs was realized in tamises and the larvae were obtained by means of larval culture, from feces of naturally infected goats of the mesoregion of semi-arid paraibano. The extract was used on the concentrations of 50; 25; 12,5; 6,25 and 3,12 mg.mL</w:t>
      </w:r>
      <w:r w:rsidRPr="005A3773">
        <w:rPr>
          <w:vertAlign w:val="superscript"/>
          <w:lang w:val="en-US"/>
        </w:rPr>
        <w:t>-1</w:t>
      </w:r>
      <w:r w:rsidRPr="005A3773">
        <w:rPr>
          <w:lang w:val="en-US"/>
        </w:rPr>
        <w:t xml:space="preserve"> to both tests and as positive control 0,2 mg.kg</w:t>
      </w:r>
      <w:r w:rsidRPr="005A3773">
        <w:rPr>
          <w:rStyle w:val="Refdenotaderodap"/>
        </w:rPr>
        <w:footnoteReference w:id="3"/>
      </w:r>
      <w:r w:rsidRPr="005A3773">
        <w:rPr>
          <w:lang w:val="en-US"/>
        </w:rPr>
        <w:t xml:space="preserve"> of moxidectin and to witness, was used distilled water. The plates were examined on the</w:t>
      </w:r>
      <w:r w:rsidRPr="005A3773">
        <w:rPr>
          <w:rFonts w:eastAsia="Calibri"/>
          <w:lang w:val="en-US" w:eastAsia="en-US"/>
        </w:rPr>
        <w:t xml:space="preserve"> optical microscopy to the counting of the eggs in development and movable and immovable larvae, after 24h, 48h and 72h of incubation. The concentrations of the etanolical extract of </w:t>
      </w:r>
      <w:r w:rsidRPr="005A3773">
        <w:rPr>
          <w:rFonts w:eastAsia="Calibri"/>
          <w:i/>
          <w:lang w:val="en-US" w:eastAsia="en-US"/>
        </w:rPr>
        <w:t>C. erosa</w:t>
      </w:r>
      <w:r w:rsidRPr="005A3773">
        <w:rPr>
          <w:rFonts w:eastAsia="Calibri"/>
          <w:lang w:val="en-US" w:eastAsia="en-US"/>
        </w:rPr>
        <w:t xml:space="preserve"> differed as the number of inviable eggs and on the test of larval motility. The percentage of viable eggs decreased with the growth of the concentration of the extract of </w:t>
      </w:r>
      <w:r w:rsidR="00840055" w:rsidRPr="005A3773">
        <w:rPr>
          <w:bCs/>
          <w:lang w:val="en-US"/>
        </w:rPr>
        <w:t>Batata de purga</w:t>
      </w:r>
      <w:r w:rsidRPr="005A3773">
        <w:rPr>
          <w:bCs/>
          <w:lang w:val="en-US"/>
        </w:rPr>
        <w:t xml:space="preserve">, and since the concentration of 25% of the extract, the percentage of viable eggs decreased to 39,72%, arriving </w:t>
      </w:r>
      <w:r w:rsidR="00577A90" w:rsidRPr="005A3773">
        <w:rPr>
          <w:bCs/>
          <w:lang w:val="en-US"/>
        </w:rPr>
        <w:t xml:space="preserve">to 29,57% on the concentration of </w:t>
      </w:r>
      <w:r w:rsidR="00577A90" w:rsidRPr="005A3773">
        <w:rPr>
          <w:rFonts w:eastAsia="Calibri"/>
          <w:lang w:val="en-US" w:eastAsia="en-US"/>
        </w:rPr>
        <w:t xml:space="preserve">50%. These values were minor and meaningful when compared with the positive and negative control. The concentration of Batata de purga was responsible for the reduction of the percentage of viable larvae, where was observed that the concentration of 50% can </w:t>
      </w:r>
      <w:r w:rsidR="00961E6E" w:rsidRPr="005A3773">
        <w:rPr>
          <w:rFonts w:eastAsia="Calibri"/>
          <w:lang w:val="en-US" w:eastAsia="en-US"/>
        </w:rPr>
        <w:t>affect negatively 63,11% of the larvae.</w:t>
      </w:r>
    </w:p>
    <w:p w:rsidR="00081E83" w:rsidRPr="005A3773" w:rsidRDefault="00887209" w:rsidP="007B43C1">
      <w:pPr>
        <w:spacing w:line="360" w:lineRule="auto"/>
        <w:jc w:val="both"/>
        <w:rPr>
          <w:lang w:val="en-US"/>
        </w:rPr>
      </w:pPr>
      <w:r w:rsidRPr="005A3773">
        <w:rPr>
          <w:lang w:val="en-US"/>
        </w:rPr>
        <w:t>Key words</w:t>
      </w:r>
      <w:r w:rsidR="00081E83" w:rsidRPr="005A3773">
        <w:rPr>
          <w:lang w:val="en-US"/>
        </w:rPr>
        <w:t xml:space="preserve">: </w:t>
      </w:r>
      <w:r w:rsidR="00BC69C3" w:rsidRPr="005A3773">
        <w:rPr>
          <w:lang w:val="en-US"/>
        </w:rPr>
        <w:t>Farming goat. G</w:t>
      </w:r>
      <w:r w:rsidR="00081E83" w:rsidRPr="005A3773">
        <w:rPr>
          <w:lang w:val="en-US"/>
        </w:rPr>
        <w:t xml:space="preserve">astrintestinal </w:t>
      </w:r>
      <w:r w:rsidR="00BC69C3" w:rsidRPr="005A3773">
        <w:rPr>
          <w:lang w:val="en-US"/>
        </w:rPr>
        <w:t>helmintiasis. P</w:t>
      </w:r>
      <w:r w:rsidR="00AA571B" w:rsidRPr="005A3773">
        <w:rPr>
          <w:lang w:val="en-US"/>
        </w:rPr>
        <w:t>hytothe</w:t>
      </w:r>
      <w:r w:rsidR="00961E6E" w:rsidRPr="005A3773">
        <w:rPr>
          <w:lang w:val="en-US"/>
        </w:rPr>
        <w:t>rapy</w:t>
      </w:r>
      <w:r w:rsidR="00BC69C3" w:rsidRPr="005A3773">
        <w:rPr>
          <w:lang w:val="en-US"/>
        </w:rPr>
        <w:t>.</w:t>
      </w:r>
    </w:p>
    <w:p w:rsidR="00B74AD6" w:rsidRPr="005A3773" w:rsidRDefault="00B74AD6" w:rsidP="00070E60">
      <w:pPr>
        <w:spacing w:line="480" w:lineRule="auto"/>
        <w:jc w:val="center"/>
        <w:rPr>
          <w:b/>
        </w:rPr>
      </w:pPr>
      <w:r w:rsidRPr="005A3773">
        <w:rPr>
          <w:b/>
        </w:rPr>
        <w:t>INTRODUÇÃO</w:t>
      </w:r>
    </w:p>
    <w:p w:rsidR="00B97CA8" w:rsidRPr="005A3773" w:rsidRDefault="00B97CA8" w:rsidP="00B97CA8">
      <w:pPr>
        <w:spacing w:line="480" w:lineRule="auto"/>
        <w:ind w:firstLine="567"/>
        <w:jc w:val="both"/>
      </w:pPr>
      <w:r w:rsidRPr="005A3773">
        <w:t>Os prejuízos à caprinocultura nacional causadas pelos nematódeos gastrintestinais são mais evidentes na região Nordeste, onde a exploração desta espécie animal é mais intensa e de relevante importância social. A utilização de anti-helmínticos contra nematódeos gastrintestinais de pequenos ruminantes, especialmente caprinos, é necessária, levando a maioria dos criadores a aplicarem diversos grupos de anti-helmínticos com várias dosificações por ano, causando diminuição da eficácia dos produtos (</w:t>
      </w:r>
      <w:r w:rsidR="00FC6ACC" w:rsidRPr="005A3773">
        <w:t>VIEIRA &amp; CAVALCANTE, 1998</w:t>
      </w:r>
      <w:r w:rsidRPr="005A3773">
        <w:t>).</w:t>
      </w:r>
    </w:p>
    <w:p w:rsidR="00B97CA8" w:rsidRPr="005A3773" w:rsidRDefault="00B97CA8" w:rsidP="00B97CA8">
      <w:pPr>
        <w:spacing w:line="480" w:lineRule="auto"/>
        <w:ind w:firstLine="567"/>
        <w:jc w:val="both"/>
      </w:pPr>
      <w:r w:rsidRPr="005A3773">
        <w:lastRenderedPageBreak/>
        <w:t xml:space="preserve">Os freqüentes surtos de verminoses junto à criação de caprinos no semi-árido paraibano caracterizam o modelo inadequado de controle que vem sendo utilizado pelos produtores. A utilização de sub-dosagens, a persistência da utilização de anti-helmínticos com o mesmo princípio químico, o momento errado da everminação e a falta de medidas adequadas de manejo, ocorrem por deficiência de informações técnicas adequadas bem como sua disponibilidade junto aos pecuaristas; vindo a contribuir para o rápido desenvolvimento </w:t>
      </w:r>
      <w:r w:rsidR="00FC6ACC" w:rsidRPr="005A3773">
        <w:t>da resistência anti-helmíntica (ALMEIDA, 2005).</w:t>
      </w:r>
    </w:p>
    <w:p w:rsidR="003A4444" w:rsidRPr="005A3773" w:rsidRDefault="003A4444" w:rsidP="003A4444">
      <w:pPr>
        <w:tabs>
          <w:tab w:val="left" w:pos="567"/>
        </w:tabs>
        <w:spacing w:line="480" w:lineRule="auto"/>
        <w:jc w:val="both"/>
      </w:pPr>
      <w:r w:rsidRPr="005A3773">
        <w:rPr>
          <w:rFonts w:eastAsia="Calibri"/>
          <w:lang w:eastAsia="en-US"/>
        </w:rPr>
        <w:tab/>
        <w:t>M</w:t>
      </w:r>
      <w:r w:rsidRPr="005A3773">
        <w:t>uitas pesquisas têm buscado desenvolver produtos baseados em substâncias naturais, que tenham a capacidade de interferir nos processos biológicos dos parasitas, como reguladores de crescimento e também no comportamento alimentar (CHAGAS 2004).</w:t>
      </w:r>
    </w:p>
    <w:p w:rsidR="00070E60" w:rsidRDefault="003A4444" w:rsidP="00B858E1">
      <w:pPr>
        <w:spacing w:line="480" w:lineRule="auto"/>
        <w:ind w:firstLine="567"/>
        <w:jc w:val="both"/>
      </w:pPr>
      <w:r w:rsidRPr="005A3773">
        <w:t>A fitoterapia surge como alternativa para aumentar os lucros da criação, reduzindo o uso de anti-helmínticos convencionais (VIEIRA, 1991). Roeder (1988)</w:t>
      </w:r>
      <w:r w:rsidR="00325503" w:rsidRPr="005A3773">
        <w:t xml:space="preserve"> refere-se</w:t>
      </w:r>
      <w:r w:rsidRPr="005A3773">
        <w:t xml:space="preserve"> à importância do emprego de plantas medicinais nas enfermidades dos rebanhos nas regiões semi-áridas do Nordeste do Brasil e sugere a intensificação do uso das mesmas.</w:t>
      </w:r>
      <w:r w:rsidRPr="005A3773">
        <w:tab/>
      </w:r>
    </w:p>
    <w:p w:rsidR="003A4444" w:rsidRDefault="003A4444" w:rsidP="00B858E1">
      <w:pPr>
        <w:spacing w:line="480" w:lineRule="auto"/>
        <w:ind w:firstLine="567"/>
        <w:jc w:val="both"/>
      </w:pPr>
      <w:r w:rsidRPr="005A3773">
        <w:t xml:space="preserve">Este trabalho teve como objetivo avaliar </w:t>
      </w:r>
      <w:r w:rsidRPr="005A3773">
        <w:rPr>
          <w:i/>
          <w:iCs/>
        </w:rPr>
        <w:t>in vitro</w:t>
      </w:r>
      <w:r w:rsidRPr="005A3773">
        <w:t xml:space="preserve"> a ação de extratos etanólicos de </w:t>
      </w:r>
      <w:r w:rsidRPr="005A3773">
        <w:rPr>
          <w:i/>
        </w:rPr>
        <w:t>Operculina</w:t>
      </w:r>
      <w:r w:rsidRPr="005A3773">
        <w:t xml:space="preserve"> </w:t>
      </w:r>
      <w:r w:rsidRPr="005A3773">
        <w:rPr>
          <w:i/>
        </w:rPr>
        <w:t xml:space="preserve">hamiltonii </w:t>
      </w:r>
      <w:r w:rsidRPr="005A3773">
        <w:t>(G. DON) D.F. Austin &amp; Staples (1983)</w:t>
      </w:r>
      <w:r w:rsidRPr="005A3773">
        <w:rPr>
          <w:i/>
        </w:rPr>
        <w:t xml:space="preserve"> - </w:t>
      </w:r>
      <w:r w:rsidRPr="005A3773">
        <w:t>batata de purga sobre ovos e larvas de nematódeos gastrintestinais de caprinos.</w:t>
      </w:r>
    </w:p>
    <w:p w:rsidR="00B74AD6" w:rsidRPr="005A3773" w:rsidRDefault="00B74AD6" w:rsidP="00070E60">
      <w:pPr>
        <w:tabs>
          <w:tab w:val="left" w:pos="567"/>
        </w:tabs>
        <w:spacing w:line="480" w:lineRule="auto"/>
        <w:jc w:val="center"/>
        <w:rPr>
          <w:b/>
        </w:rPr>
      </w:pPr>
      <w:r w:rsidRPr="005A3773">
        <w:rPr>
          <w:b/>
        </w:rPr>
        <w:t>MATERIAL E MÉTODO</w:t>
      </w:r>
      <w:r w:rsidR="00942AF1" w:rsidRPr="005A3773">
        <w:rPr>
          <w:b/>
        </w:rPr>
        <w:t>S</w:t>
      </w:r>
    </w:p>
    <w:p w:rsidR="0089780F" w:rsidRDefault="00B858E1" w:rsidP="00B858E1">
      <w:pPr>
        <w:spacing w:line="480" w:lineRule="auto"/>
        <w:ind w:firstLine="567"/>
        <w:jc w:val="both"/>
        <w:rPr>
          <w:bCs/>
        </w:rPr>
      </w:pPr>
      <w:r w:rsidRPr="005A3773">
        <w:rPr>
          <w:bCs/>
        </w:rPr>
        <w:t>O experimento foi desenvolvido nos Laboratórios de Doenças Parasitárias dos Animais Domésticos (DPAD) do Centro de Saúde e Tecnologia Rural (CSTR) da Universidade Federal de Campina Grande (UFCG) e no Laboratório de Pesquisa de Produtos Naturais (LPPN) da Universidade Regional do Cariri (URCA).</w:t>
      </w:r>
      <w:r w:rsidR="0089780F">
        <w:rPr>
          <w:bCs/>
        </w:rPr>
        <w:t xml:space="preserve"> </w:t>
      </w:r>
    </w:p>
    <w:p w:rsidR="00B858E1" w:rsidRPr="005A3773" w:rsidRDefault="00B858E1" w:rsidP="00B858E1">
      <w:pPr>
        <w:spacing w:line="480" w:lineRule="auto"/>
        <w:ind w:firstLine="567"/>
        <w:jc w:val="both"/>
      </w:pPr>
      <w:r w:rsidRPr="005A3773">
        <w:t xml:space="preserve">Amostras da </w:t>
      </w:r>
      <w:r w:rsidRPr="005A3773">
        <w:rPr>
          <w:i/>
        </w:rPr>
        <w:t>Operculina</w:t>
      </w:r>
      <w:r w:rsidRPr="005A3773">
        <w:t xml:space="preserve"> </w:t>
      </w:r>
      <w:r w:rsidRPr="005A3773">
        <w:rPr>
          <w:i/>
        </w:rPr>
        <w:t xml:space="preserve">hamiltonii </w:t>
      </w:r>
      <w:r w:rsidRPr="005A3773">
        <w:t>(G. DON) D.F. Austin &amp; Staples (1983)</w:t>
      </w:r>
      <w:r w:rsidRPr="005A3773">
        <w:rPr>
          <w:i/>
        </w:rPr>
        <w:t xml:space="preserve"> - </w:t>
      </w:r>
      <w:r w:rsidRPr="005A3773">
        <w:t>Batata de purga foram</w:t>
      </w:r>
      <w:r w:rsidRPr="005A3773">
        <w:rPr>
          <w:bCs/>
        </w:rPr>
        <w:t xml:space="preserve"> </w:t>
      </w:r>
      <w:r w:rsidRPr="005A3773">
        <w:t xml:space="preserve">coletadas no Centro de Saúde e Tecnologia Rural – CSTR/UFCG </w:t>
      </w:r>
      <w:r w:rsidRPr="005A3773">
        <w:lastRenderedPageBreak/>
        <w:t>– Campus de Patos nos meses de Agosto e Setembro de 2008. Após a identificação das partes indicadas para estudo etnofarmacológico, as exsicatas foram depositadas no Herbário Caririense Dárdano de Andrade - Lima da Universidade Regional do Cariri – URCA sob o número # 3750.</w:t>
      </w:r>
    </w:p>
    <w:p w:rsidR="00B858E1" w:rsidRPr="005A3773" w:rsidRDefault="00B858E1" w:rsidP="00B858E1">
      <w:pPr>
        <w:spacing w:line="480" w:lineRule="auto"/>
        <w:ind w:firstLine="567"/>
        <w:jc w:val="both"/>
      </w:pPr>
      <w:r w:rsidRPr="005A3773">
        <w:t>O material vegetal da planta foi colocado para secagem ao ar por 48 horas, em seguida levado à estufa de ventilação forçada a 60º C por 24 horas, logo após, pesado e moído.</w:t>
      </w:r>
    </w:p>
    <w:p w:rsidR="00B858E1" w:rsidRPr="005A3773" w:rsidRDefault="00B858E1" w:rsidP="00B858E1">
      <w:pPr>
        <w:spacing w:line="480" w:lineRule="auto"/>
        <w:ind w:firstLine="567"/>
        <w:jc w:val="both"/>
      </w:pPr>
      <w:r w:rsidRPr="005A3773">
        <w:t xml:space="preserve">A obtenção dos extratos etanólicos seguiu a metodologia descrita por Matos (1997) e foi realizada no Laboratório de Pesquisa de Produtos Naturais – LPPN da Universidade Regional do Cariri – URCA. </w:t>
      </w:r>
    </w:p>
    <w:p w:rsidR="00CA15E9" w:rsidRPr="005A3773" w:rsidRDefault="00CA15E9" w:rsidP="00B858E1">
      <w:pPr>
        <w:spacing w:line="480" w:lineRule="auto"/>
        <w:ind w:firstLine="567"/>
        <w:jc w:val="both"/>
      </w:pPr>
      <w:r w:rsidRPr="005A3773">
        <w:t>Para a realização do extrato etanólico</w:t>
      </w:r>
      <w:r w:rsidR="00A04863" w:rsidRPr="005A3773">
        <w:t>, foi utilizado 500,01g do pó do tubérculo da Batata de purga para 1.000 mL de etanol PA.</w:t>
      </w:r>
    </w:p>
    <w:p w:rsidR="00B858E1" w:rsidRPr="005A3773" w:rsidRDefault="00B858E1" w:rsidP="00B858E1">
      <w:pPr>
        <w:spacing w:line="480" w:lineRule="auto"/>
        <w:ind w:firstLine="567"/>
        <w:jc w:val="both"/>
      </w:pPr>
      <w:r w:rsidRPr="005A3773">
        <w:t>Para extração, a mistura foi deixada em repouso por 72h, em seguida foi executado o processo de filtração e concentrado em rota-evaporador obtendo um material viscoso. Para uma eficiente evaporação do solvente, o material foi colocado em frascos de vidro tarados e colocados em banho-maria.</w:t>
      </w:r>
    </w:p>
    <w:p w:rsidR="00207B6D" w:rsidRPr="005A3773" w:rsidRDefault="00B858E1" w:rsidP="00B858E1">
      <w:pPr>
        <w:spacing w:line="480" w:lineRule="auto"/>
        <w:ind w:firstLine="567"/>
        <w:jc w:val="both"/>
      </w:pPr>
      <w:r w:rsidRPr="005A3773">
        <w:t xml:space="preserve">Para obtenção dos ovos e larvas de helmintos, foi utilizado 01 (um) caprino da raça Moxotó do Centro de Saúde e Tecnologia Rural – CSTR/UFCG, </w:t>
      </w:r>
      <w:r w:rsidR="00207B6D" w:rsidRPr="005A3773">
        <w:t>o qual</w:t>
      </w:r>
      <w:r w:rsidRPr="005A3773">
        <w:t xml:space="preserve"> fo</w:t>
      </w:r>
      <w:r w:rsidR="00207B6D" w:rsidRPr="005A3773">
        <w:t>i</w:t>
      </w:r>
      <w:r w:rsidRPr="005A3773">
        <w:t xml:space="preserve"> coletad</w:t>
      </w:r>
      <w:r w:rsidR="00207B6D" w:rsidRPr="005A3773">
        <w:t>o</w:t>
      </w:r>
      <w:r w:rsidRPr="005A3773">
        <w:t xml:space="preserve"> as fezes diretamente da ampola retal, acondicionadas em sacos plásticos e </w:t>
      </w:r>
      <w:r w:rsidR="00207B6D" w:rsidRPr="005A3773">
        <w:t xml:space="preserve">imediatamente </w:t>
      </w:r>
      <w:r w:rsidRPr="005A3773">
        <w:t>encaminhadas para o Laboratório de Doenças Parasitár</w:t>
      </w:r>
      <w:r w:rsidR="00207B6D" w:rsidRPr="005A3773">
        <w:t>ias e Animais Domésticos</w:t>
      </w:r>
      <w:r w:rsidRPr="005A3773">
        <w:t xml:space="preserve"> CSTR</w:t>
      </w:r>
      <w:r w:rsidR="00207B6D" w:rsidRPr="005A3773">
        <w:t>/UFCG</w:t>
      </w:r>
      <w:r w:rsidRPr="005A3773">
        <w:t>, sob temperatura ambiente</w:t>
      </w:r>
      <w:r w:rsidR="00207B6D" w:rsidRPr="005A3773">
        <w:t>.</w:t>
      </w:r>
    </w:p>
    <w:p w:rsidR="00B858E1" w:rsidRPr="005A3773" w:rsidRDefault="00B858E1" w:rsidP="00B858E1">
      <w:pPr>
        <w:spacing w:line="480" w:lineRule="auto"/>
        <w:ind w:firstLine="567"/>
        <w:jc w:val="both"/>
      </w:pPr>
      <w:r w:rsidRPr="005A3773">
        <w:t xml:space="preserve">Os ovos foram obtidos através da técnica dos </w:t>
      </w:r>
      <w:r w:rsidR="00FC6ACC" w:rsidRPr="005A3773">
        <w:t>quatro tamises (UENO &amp; GUTIERREZ,</w:t>
      </w:r>
      <w:r w:rsidRPr="005A3773">
        <w:t xml:space="preserve"> 1983). A partir da suspensão obtida através da técnica de Gordon &amp; Whitlock (1939) foram utilizados 2 mL do extrato nas concentrações 50; 25; 12; 6 e 3% mg/mL</w:t>
      </w:r>
      <w:r w:rsidRPr="005A3773">
        <w:rPr>
          <w:vertAlign w:val="superscript"/>
        </w:rPr>
        <w:t>-1</w:t>
      </w:r>
      <w:r w:rsidRPr="005A3773">
        <w:t xml:space="preserve"> para cada 200 ovos em 2 mL, de acordo com Hubert &amp; Kerboeurf (1984) e </w:t>
      </w:r>
      <w:r w:rsidRPr="005A3773">
        <w:lastRenderedPageBreak/>
        <w:t xml:space="preserve">colocado na placa de Petri. As variáveis quantificadas foram ovo viável (OVV) e ovo inviável (OVI), identificado pelo gênero. </w:t>
      </w:r>
    </w:p>
    <w:p w:rsidR="00B858E1" w:rsidRPr="005A3773" w:rsidRDefault="00B858E1" w:rsidP="00B858E1">
      <w:pPr>
        <w:spacing w:line="480" w:lineRule="auto"/>
        <w:ind w:firstLine="567"/>
        <w:jc w:val="both"/>
      </w:pPr>
      <w:r w:rsidRPr="005A3773">
        <w:t>As larvas infectantes foram obtidas através da coprocultura pela técnica de R</w:t>
      </w:r>
      <w:r w:rsidR="00207B6D" w:rsidRPr="005A3773">
        <w:t>oberts</w:t>
      </w:r>
      <w:r w:rsidRPr="005A3773">
        <w:t xml:space="preserve"> &amp; </w:t>
      </w:r>
      <w:r w:rsidR="00207B6D" w:rsidRPr="005A3773">
        <w:t>O’</w:t>
      </w:r>
      <w:r w:rsidRPr="005A3773">
        <w:t>S</w:t>
      </w:r>
      <w:r w:rsidR="0072335A" w:rsidRPr="005A3773">
        <w:t>ullivan</w:t>
      </w:r>
      <w:r w:rsidR="00207B6D" w:rsidRPr="005A3773">
        <w:t xml:space="preserve"> </w:t>
      </w:r>
      <w:r w:rsidRPr="005A3773">
        <w:t>(1950). A partir da suspensão obtida através da coprocultura procedeu-se a contagem e identificação das larvas. Foram utilizados 2mL do extrato nas concentrações 50; 25; 12; 6 e 3% mg/mL</w:t>
      </w:r>
      <w:r w:rsidRPr="005A3773">
        <w:rPr>
          <w:vertAlign w:val="superscript"/>
        </w:rPr>
        <w:t>-1</w:t>
      </w:r>
      <w:r w:rsidRPr="005A3773">
        <w:t xml:space="preserve"> para cada 200 larvas em 2 mL, de acordo com Hubert &amp; Kerboeurf (1984) e colocados em placa de Petri. As variáveis quantificadas foram larva viável (LVV) e larva inviável (LVI).</w:t>
      </w:r>
    </w:p>
    <w:p w:rsidR="00207B6D" w:rsidRPr="005A3773" w:rsidRDefault="00B858E1" w:rsidP="00207B6D">
      <w:pPr>
        <w:spacing w:line="480" w:lineRule="auto"/>
        <w:ind w:firstLine="567"/>
        <w:jc w:val="both"/>
      </w:pPr>
      <w:r w:rsidRPr="005A3773">
        <w:t>O procedimento foi igualmente repetido com água destilada para o controle negativo e com albendazole 5%</w:t>
      </w:r>
      <w:r w:rsidRPr="005A3773">
        <w:rPr>
          <w:vertAlign w:val="superscript"/>
        </w:rPr>
        <w:t>1</w:t>
      </w:r>
      <w:r w:rsidRPr="005A3773">
        <w:t xml:space="preserve"> (</w:t>
      </w:r>
      <w:r w:rsidRPr="005A3773">
        <w:rPr>
          <w:vertAlign w:val="superscript"/>
        </w:rPr>
        <w:t>1</w:t>
      </w:r>
      <w:r w:rsidRPr="005A3773">
        <w:t>Farmazole 1,9%® - Laboratório Fagra) para o controle positivo. Os ensaios foram realizados em triplicata</w:t>
      </w:r>
      <w:r w:rsidR="00207B6D" w:rsidRPr="005A3773">
        <w:t>s</w:t>
      </w:r>
      <w:r w:rsidRPr="005A3773">
        <w:t xml:space="preserve">. As leituras ao microscópio óptico, para a contagem dos ovos e larvas em desenvolvimento foram realizadas com 24h, 48h e 72h de incubação. </w:t>
      </w:r>
    </w:p>
    <w:p w:rsidR="00B74AD6" w:rsidRPr="005A3773" w:rsidRDefault="00B74AD6" w:rsidP="00207B6D">
      <w:pPr>
        <w:spacing w:line="480" w:lineRule="auto"/>
        <w:ind w:firstLine="567"/>
        <w:jc w:val="both"/>
      </w:pPr>
      <w:r w:rsidRPr="005A3773">
        <w:t>Os resultados das cinco concentrações dos extratos, bem como os controles positivo e negativo, todos em triplicatas, foram avaliados em três tempos (24, 48 e 72 horas) e foram comparados por meio de cálculos estatísticos, utilizando-se o teste de Tukey a 5% de significância. Todos os dados foram transformados em porcentagem.</w:t>
      </w:r>
    </w:p>
    <w:p w:rsidR="00B74AD6" w:rsidRPr="005A3773" w:rsidRDefault="00B74AD6" w:rsidP="006F7335">
      <w:pPr>
        <w:spacing w:line="480" w:lineRule="auto"/>
        <w:jc w:val="center"/>
        <w:rPr>
          <w:b/>
        </w:rPr>
      </w:pPr>
      <w:r w:rsidRPr="005A3773">
        <w:rPr>
          <w:b/>
        </w:rPr>
        <w:t>RESULTADOS E DISCUSS</w:t>
      </w:r>
      <w:r w:rsidR="002235F6" w:rsidRPr="005A3773">
        <w:rPr>
          <w:b/>
        </w:rPr>
        <w:t>ÃO</w:t>
      </w:r>
    </w:p>
    <w:p w:rsidR="00CA15E9" w:rsidRPr="005A3773" w:rsidRDefault="00CA15E9" w:rsidP="00CA15E9">
      <w:pPr>
        <w:spacing w:line="480" w:lineRule="auto"/>
        <w:ind w:firstLine="567"/>
        <w:jc w:val="both"/>
      </w:pPr>
      <w:r w:rsidRPr="005A3773">
        <w:t xml:space="preserve">A análise parasitológica de contagem média foi de 4.500 OPG (ovos por grama de fezes). Os ovos apresentavam características morfológicas típicas da Superfamília </w:t>
      </w:r>
      <w:r w:rsidRPr="005A3773">
        <w:rPr>
          <w:i/>
        </w:rPr>
        <w:t>Trichostrongylidea</w:t>
      </w:r>
      <w:r w:rsidRPr="005A3773">
        <w:t xml:space="preserve">. </w:t>
      </w:r>
    </w:p>
    <w:p w:rsidR="00CA15E9" w:rsidRPr="005A3773" w:rsidRDefault="00CA15E9" w:rsidP="00CA15E9">
      <w:pPr>
        <w:spacing w:line="480" w:lineRule="auto"/>
        <w:ind w:firstLine="567"/>
        <w:jc w:val="both"/>
      </w:pPr>
      <w:r w:rsidRPr="005A3773">
        <w:t xml:space="preserve">Na contagem e identificação das larvas verificou-se uma média de 2.150 larvas por placa, onde 70% das larvas correspondiam ao gênero </w:t>
      </w:r>
      <w:r w:rsidRPr="005A3773">
        <w:rPr>
          <w:i/>
        </w:rPr>
        <w:t>Haemonchus</w:t>
      </w:r>
      <w:r w:rsidRPr="005A3773">
        <w:t xml:space="preserve">, 16%  </w:t>
      </w:r>
      <w:r w:rsidRPr="005A3773">
        <w:rPr>
          <w:i/>
        </w:rPr>
        <w:t>Trichostrongylus</w:t>
      </w:r>
      <w:r w:rsidRPr="005A3773">
        <w:t xml:space="preserve"> e 14% ao gênero </w:t>
      </w:r>
      <w:r w:rsidRPr="005A3773">
        <w:rPr>
          <w:i/>
        </w:rPr>
        <w:t>Oesophagostomum</w:t>
      </w:r>
      <w:r w:rsidRPr="005A3773">
        <w:t xml:space="preserve">. </w:t>
      </w:r>
    </w:p>
    <w:p w:rsidR="00B75B29" w:rsidRPr="005A3773" w:rsidRDefault="00B75B29" w:rsidP="00CA15E9">
      <w:pPr>
        <w:spacing w:line="480" w:lineRule="auto"/>
        <w:ind w:firstLine="567"/>
        <w:jc w:val="both"/>
        <w:rPr>
          <w:bCs/>
        </w:rPr>
      </w:pPr>
      <w:r w:rsidRPr="005A3773">
        <w:rPr>
          <w:bCs/>
        </w:rPr>
        <w:lastRenderedPageBreak/>
        <w:t>Com a metodologia utilizada no experimento, contatou-se que o percentual de ovos viáveis decresceu com o aumento da concentração do extrato de</w:t>
      </w:r>
      <w:r w:rsidRPr="005A3773">
        <w:rPr>
          <w:bCs/>
          <w:i/>
        </w:rPr>
        <w:t xml:space="preserve"> </w:t>
      </w:r>
      <w:r w:rsidR="00840055" w:rsidRPr="005A3773">
        <w:rPr>
          <w:i/>
        </w:rPr>
        <w:t>Operculina</w:t>
      </w:r>
      <w:r w:rsidR="00840055" w:rsidRPr="005A3773">
        <w:t xml:space="preserve"> </w:t>
      </w:r>
      <w:r w:rsidR="00840055" w:rsidRPr="005A3773">
        <w:rPr>
          <w:i/>
        </w:rPr>
        <w:t xml:space="preserve">hamiltonii </w:t>
      </w:r>
      <w:r w:rsidR="00840055" w:rsidRPr="005A3773">
        <w:t>(G. DON) D.F. Austin &amp; Staples (1983) -</w:t>
      </w:r>
      <w:r w:rsidR="00CA15E9" w:rsidRPr="005A3773">
        <w:t xml:space="preserve"> </w:t>
      </w:r>
      <w:r w:rsidR="00840055" w:rsidRPr="005A3773">
        <w:t>B</w:t>
      </w:r>
      <w:r w:rsidR="00840055" w:rsidRPr="005A3773">
        <w:rPr>
          <w:lang w:val="en-US"/>
        </w:rPr>
        <w:t>atata de purga</w:t>
      </w:r>
      <w:r w:rsidRPr="005A3773">
        <w:rPr>
          <w:bCs/>
        </w:rPr>
        <w:t>, e que a partir da concentração de 25% do extrato</w:t>
      </w:r>
      <w:r w:rsidR="00A600E0" w:rsidRPr="005A3773">
        <w:rPr>
          <w:bCs/>
        </w:rPr>
        <w:t>,</w:t>
      </w:r>
      <w:r w:rsidRPr="005A3773">
        <w:rPr>
          <w:bCs/>
        </w:rPr>
        <w:t xml:space="preserve"> o percentual de ovos viáveis caiu para 39,72%, chegando a 29,57% na concentração de 50%, valores estes inferiores e significativo</w:t>
      </w:r>
      <w:r w:rsidR="00A600E0" w:rsidRPr="005A3773">
        <w:rPr>
          <w:bCs/>
        </w:rPr>
        <w:t>s</w:t>
      </w:r>
      <w:r w:rsidRPr="005A3773">
        <w:rPr>
          <w:bCs/>
        </w:rPr>
        <w:t xml:space="preserve"> quando comparados com o contro</w:t>
      </w:r>
      <w:r w:rsidR="005F7B58" w:rsidRPr="005A3773">
        <w:rPr>
          <w:bCs/>
        </w:rPr>
        <w:t>le positivo e negativo (</w:t>
      </w:r>
      <w:r w:rsidR="004D5A4C" w:rsidRPr="005A3773">
        <w:rPr>
          <w:bCs/>
        </w:rPr>
        <w:t>Tabela 1</w:t>
      </w:r>
      <w:r w:rsidRPr="005A3773">
        <w:rPr>
          <w:bCs/>
        </w:rPr>
        <w:t>), demonstrando assim ser o mesmo eficaz como inibidor de eclo</w:t>
      </w:r>
      <w:r w:rsidR="00A04863" w:rsidRPr="005A3773">
        <w:rPr>
          <w:bCs/>
        </w:rPr>
        <w:t>são de ovos de nematódeos gastr</w:t>
      </w:r>
      <w:r w:rsidRPr="005A3773">
        <w:rPr>
          <w:bCs/>
        </w:rPr>
        <w:t>intestinais de pequenos ruminantes.</w:t>
      </w:r>
    </w:p>
    <w:p w:rsidR="00296631" w:rsidRPr="005A3773" w:rsidRDefault="00296631" w:rsidP="00840055">
      <w:pPr>
        <w:autoSpaceDE w:val="0"/>
        <w:autoSpaceDN w:val="0"/>
        <w:adjustRightInd w:val="0"/>
        <w:spacing w:line="480" w:lineRule="auto"/>
        <w:ind w:firstLine="567"/>
        <w:jc w:val="both"/>
      </w:pPr>
      <w:r w:rsidRPr="005A3773">
        <w:t xml:space="preserve">Ao relacionar os tratamentos aplicados com o tempo de exposição dos ovos de helmintos gastrintestinais, observou-se que </w:t>
      </w:r>
      <w:r w:rsidR="00BE2639" w:rsidRPr="005A3773">
        <w:t xml:space="preserve">não </w:t>
      </w:r>
      <w:r w:rsidRPr="005A3773">
        <w:t>houve diferença significativa do tempo de exposição dos ovos ao extrato, sendo, portanto, a concentração do extrato responsável pela ação anti-helmíntica (</w:t>
      </w:r>
      <w:r w:rsidR="004D5A4C" w:rsidRPr="005A3773">
        <w:t>Figura 1</w:t>
      </w:r>
      <w:r w:rsidRPr="005A3773">
        <w:t>).</w:t>
      </w:r>
    </w:p>
    <w:p w:rsidR="005F7B58" w:rsidRPr="005A3773" w:rsidRDefault="005F7B58" w:rsidP="005F7B58">
      <w:pPr>
        <w:spacing w:line="480" w:lineRule="auto"/>
        <w:ind w:firstLine="567"/>
        <w:jc w:val="both"/>
        <w:rPr>
          <w:bCs/>
        </w:rPr>
      </w:pPr>
      <w:r w:rsidRPr="005A3773">
        <w:t>O número de pesquisas a cerca da ação de extratos de plantas sobre nematódeos gastrintestinais em pequenos ruminantes ainda é escasso e, mesmo assim, pouco conclusivos, dificultando uma discussão com efeito comparativo.</w:t>
      </w:r>
      <w:r w:rsidRPr="005A3773">
        <w:rPr>
          <w:bCs/>
        </w:rPr>
        <w:t xml:space="preserve"> </w:t>
      </w:r>
    </w:p>
    <w:p w:rsidR="005F7B58" w:rsidRPr="005A3773" w:rsidRDefault="005F7B58" w:rsidP="005F7B58">
      <w:pPr>
        <w:autoSpaceDE w:val="0"/>
        <w:autoSpaceDN w:val="0"/>
        <w:adjustRightInd w:val="0"/>
        <w:spacing w:line="480" w:lineRule="auto"/>
        <w:ind w:firstLine="567"/>
        <w:jc w:val="both"/>
      </w:pPr>
      <w:r w:rsidRPr="005A3773">
        <w:t xml:space="preserve">No entanto, pode-se explorar os resultados encontrados por Girão et al. (1998), que realizaram um levantamento etnoveterinário com plantas possuidoras de ação anti-helmínticas em caprinos, no estado do Piauí. Neste trabalho realizado </w:t>
      </w:r>
      <w:r w:rsidRPr="005A3773">
        <w:rPr>
          <w:i/>
          <w:iCs/>
        </w:rPr>
        <w:t xml:space="preserve">in vitro </w:t>
      </w:r>
      <w:r w:rsidRPr="005A3773">
        <w:t xml:space="preserve">constatou-se a ação ovicida da </w:t>
      </w:r>
      <w:r w:rsidRPr="005A3773">
        <w:rPr>
          <w:iCs/>
        </w:rPr>
        <w:t>Batata de purga</w:t>
      </w:r>
      <w:r w:rsidRPr="005A3773">
        <w:rPr>
          <w:i/>
          <w:iCs/>
        </w:rPr>
        <w:t xml:space="preserve"> </w:t>
      </w:r>
      <w:r w:rsidRPr="005A3773">
        <w:t xml:space="preserve">sobre ovos de nematóides gastrintestinais de caprinos, administradas nas doses entre </w:t>
      </w:r>
      <w:smartTag w:uri="urn:schemas-microsoft-com:office:smarttags" w:element="metricconverter">
        <w:smartTagPr>
          <w:attr w:name="ProductID" w:val="0,4 a"/>
        </w:smartTagPr>
        <w:r w:rsidRPr="005A3773">
          <w:t>0,4 a</w:t>
        </w:r>
      </w:smartTag>
      <w:r w:rsidRPr="005A3773">
        <w:t xml:space="preserve"> 5g, da planta seca triturada para 10g de fezes, utilizando-se o método de coprocultura. </w:t>
      </w:r>
    </w:p>
    <w:p w:rsidR="003E488C" w:rsidRPr="005A3773" w:rsidRDefault="003E488C" w:rsidP="00840055">
      <w:pPr>
        <w:autoSpaceDE w:val="0"/>
        <w:autoSpaceDN w:val="0"/>
        <w:adjustRightInd w:val="0"/>
        <w:spacing w:line="480" w:lineRule="auto"/>
        <w:ind w:firstLine="567"/>
        <w:jc w:val="both"/>
      </w:pPr>
      <w:r w:rsidRPr="005A3773">
        <w:t>Athayde et al., (2004) utilizando sementes de abóbora (</w:t>
      </w:r>
      <w:r w:rsidRPr="005A3773">
        <w:rPr>
          <w:i/>
          <w:iCs/>
        </w:rPr>
        <w:t>Cucurbita pepo</w:t>
      </w:r>
      <w:r w:rsidR="00661751" w:rsidRPr="005A3773">
        <w:t>), B</w:t>
      </w:r>
      <w:r w:rsidRPr="005A3773">
        <w:t xml:space="preserve">atata de purga </w:t>
      </w:r>
      <w:r w:rsidR="00840055" w:rsidRPr="005A3773">
        <w:t xml:space="preserve">- </w:t>
      </w:r>
      <w:r w:rsidR="00840055" w:rsidRPr="005A3773">
        <w:rPr>
          <w:i/>
        </w:rPr>
        <w:t>Operculina</w:t>
      </w:r>
      <w:r w:rsidR="00840055" w:rsidRPr="005A3773">
        <w:t xml:space="preserve"> </w:t>
      </w:r>
      <w:r w:rsidR="00840055" w:rsidRPr="005A3773">
        <w:rPr>
          <w:i/>
        </w:rPr>
        <w:t xml:space="preserve">hamiltonii </w:t>
      </w:r>
      <w:r w:rsidR="00840055" w:rsidRPr="005A3773">
        <w:t xml:space="preserve">(G. DON) D.F. Austin &amp; Staples (1983) </w:t>
      </w:r>
      <w:r w:rsidRPr="005A3773">
        <w:t>e melão de São Caetano (</w:t>
      </w:r>
      <w:r w:rsidRPr="005A3773">
        <w:rPr>
          <w:i/>
          <w:iCs/>
        </w:rPr>
        <w:t>M. charantia</w:t>
      </w:r>
      <w:r w:rsidRPr="005A3773">
        <w:t xml:space="preserve">), em núcleos rurais situados nos municípios de Patos-PB, São </w:t>
      </w:r>
      <w:r w:rsidRPr="005A3773">
        <w:lastRenderedPageBreak/>
        <w:t>Mamede-PB e Santa Terezinha-PB, constataram atividade anti</w:t>
      </w:r>
      <w:r w:rsidR="00661751" w:rsidRPr="005A3773">
        <w:t>-</w:t>
      </w:r>
      <w:r w:rsidRPr="005A3773">
        <w:t>helmítica, por meio da redução do OPG em caprinos naturalmente infectados, 30 dias após a sua administração.</w:t>
      </w:r>
    </w:p>
    <w:p w:rsidR="00E54A98" w:rsidRPr="005A3773" w:rsidRDefault="00DC1A04" w:rsidP="00840055">
      <w:pPr>
        <w:autoSpaceDE w:val="0"/>
        <w:autoSpaceDN w:val="0"/>
        <w:adjustRightInd w:val="0"/>
        <w:spacing w:line="480" w:lineRule="auto"/>
        <w:ind w:firstLine="567"/>
        <w:jc w:val="both"/>
      </w:pPr>
      <w:r w:rsidRPr="005A3773">
        <w:t>A</w:t>
      </w:r>
      <w:r w:rsidR="00661751" w:rsidRPr="005A3773">
        <w:t>o avaliar a ação do extrato da B</w:t>
      </w:r>
      <w:r w:rsidRPr="005A3773">
        <w:t>atata de purga sobre a viabilidade de larvas, podemos observa</w:t>
      </w:r>
      <w:r w:rsidR="00661751" w:rsidRPr="005A3773">
        <w:t>r</w:t>
      </w:r>
      <w:r w:rsidRPr="005A3773">
        <w:t xml:space="preserve"> que o percentual de larvas </w:t>
      </w:r>
      <w:r w:rsidR="00661751" w:rsidRPr="005A3773">
        <w:t xml:space="preserve">viáveis </w:t>
      </w:r>
      <w:r w:rsidRPr="005A3773">
        <w:t xml:space="preserve">teve um decréscimo </w:t>
      </w:r>
      <w:r w:rsidR="00C712D1" w:rsidRPr="005A3773">
        <w:t>à</w:t>
      </w:r>
      <w:r w:rsidRPr="005A3773">
        <w:t xml:space="preserve"> medida que a concentração do extrato aumentava, apresentando o mesmo diferença significativa a partir da concentração </w:t>
      </w:r>
      <w:r w:rsidR="00A72621" w:rsidRPr="005A3773">
        <w:t>12%, chegando à 63,11% de larvas viáveis na concentração de 50% (</w:t>
      </w:r>
      <w:r w:rsidR="004D5A4C" w:rsidRPr="005A3773">
        <w:t>Tabela 2</w:t>
      </w:r>
      <w:r w:rsidR="00A72621" w:rsidRPr="005A3773">
        <w:t xml:space="preserve">). Apesar da diferença significativa quando comparada com a testemunha observamos que o extrato da batata de purga quando aplicada em testes </w:t>
      </w:r>
      <w:r w:rsidR="00A72621" w:rsidRPr="005A3773">
        <w:rPr>
          <w:i/>
        </w:rPr>
        <w:t>in vitro</w:t>
      </w:r>
      <w:r w:rsidR="00A72621" w:rsidRPr="005A3773">
        <w:t xml:space="preserve"> é ine</w:t>
      </w:r>
      <w:r w:rsidR="00E54A98" w:rsidRPr="005A3773">
        <w:t>ficiente</w:t>
      </w:r>
      <w:r w:rsidR="00A72621" w:rsidRPr="005A3773">
        <w:t xml:space="preserve"> no contro</w:t>
      </w:r>
      <w:r w:rsidR="004D5A4C" w:rsidRPr="005A3773">
        <w:t>le de larvas de helmintos gastri</w:t>
      </w:r>
      <w:r w:rsidR="00A72621" w:rsidRPr="005A3773">
        <w:t>itestinais de pequenos ruminantes</w:t>
      </w:r>
      <w:r w:rsidRPr="005A3773">
        <w:t xml:space="preserve"> </w:t>
      </w:r>
      <w:r w:rsidR="00E54A98" w:rsidRPr="005A3773">
        <w:t>quando comparado aos propostos pelo Grupo Mercado Comum para substâncias químicas (GMC 1996), que preconiza ser: altamente efetivo &gt; 98%; efetivo entre 90-98%; moderadamente efetivo entre 80-89% e insuficientemente ativo &lt; 80% (não registrável).</w:t>
      </w:r>
    </w:p>
    <w:p w:rsidR="00EB2D62" w:rsidRPr="005A3773" w:rsidRDefault="00EB2D62" w:rsidP="00840055">
      <w:pPr>
        <w:autoSpaceDE w:val="0"/>
        <w:autoSpaceDN w:val="0"/>
        <w:adjustRightInd w:val="0"/>
        <w:spacing w:line="480" w:lineRule="auto"/>
        <w:ind w:firstLine="567"/>
        <w:jc w:val="both"/>
      </w:pPr>
      <w:r w:rsidRPr="005A3773">
        <w:t xml:space="preserve">No Estado do Piauí, foram listadas por Girão et al., (1998), com base em informações de produtores de caprinos, 14 plantas como possuidoras de atividade anti-helmíntica. As plantas relacionadas foram: </w:t>
      </w:r>
      <w:r w:rsidR="00C51356" w:rsidRPr="005A3773">
        <w:rPr>
          <w:i/>
          <w:iCs/>
        </w:rPr>
        <w:t>Operculina sp</w:t>
      </w:r>
      <w:r w:rsidR="00840055" w:rsidRPr="005A3773">
        <w:t xml:space="preserve">. (Batata de </w:t>
      </w:r>
      <w:r w:rsidR="00C51356" w:rsidRPr="005A3773">
        <w:t xml:space="preserve">purga), </w:t>
      </w:r>
      <w:r w:rsidRPr="005A3773">
        <w:rPr>
          <w:i/>
          <w:iCs/>
        </w:rPr>
        <w:t xml:space="preserve">Cucurbita moschata </w:t>
      </w:r>
      <w:r w:rsidRPr="005A3773">
        <w:t xml:space="preserve">(Abóbora), </w:t>
      </w:r>
      <w:r w:rsidRPr="005A3773">
        <w:rPr>
          <w:i/>
          <w:iCs/>
        </w:rPr>
        <w:t xml:space="preserve">Luffa operculata </w:t>
      </w:r>
      <w:r w:rsidRPr="005A3773">
        <w:t xml:space="preserve">(Bucha paulista, Cabacinha), </w:t>
      </w:r>
      <w:r w:rsidRPr="005A3773">
        <w:rPr>
          <w:i/>
          <w:iCs/>
        </w:rPr>
        <w:t>Heliotropium sp</w:t>
      </w:r>
      <w:r w:rsidRPr="005A3773">
        <w:t xml:space="preserve">. (Crista de galo), </w:t>
      </w:r>
      <w:r w:rsidRPr="005A3773">
        <w:rPr>
          <w:i/>
          <w:iCs/>
        </w:rPr>
        <w:t xml:space="preserve">Mentha sp. </w:t>
      </w:r>
      <w:r w:rsidRPr="005A3773">
        <w:t xml:space="preserve">(Hortelã), </w:t>
      </w:r>
      <w:r w:rsidRPr="005A3773">
        <w:rPr>
          <w:i/>
          <w:iCs/>
        </w:rPr>
        <w:t xml:space="preserve">Carica papaya </w:t>
      </w:r>
      <w:r w:rsidRPr="005A3773">
        <w:t xml:space="preserve">(Mamoeiro), </w:t>
      </w:r>
      <w:r w:rsidRPr="005A3773">
        <w:rPr>
          <w:i/>
          <w:iCs/>
        </w:rPr>
        <w:t xml:space="preserve">Chenopodium ambrosioides </w:t>
      </w:r>
      <w:r w:rsidRPr="005A3773">
        <w:t xml:space="preserve">(Mastruço), </w:t>
      </w:r>
      <w:r w:rsidRPr="005A3773">
        <w:rPr>
          <w:i/>
          <w:iCs/>
        </w:rPr>
        <w:t xml:space="preserve">Momordica charantia </w:t>
      </w:r>
      <w:r w:rsidRPr="005A3773">
        <w:t xml:space="preserve">(Melão de são caetano), Milome (nome científico não identificado), </w:t>
      </w:r>
      <w:r w:rsidRPr="005A3773">
        <w:rPr>
          <w:i/>
          <w:iCs/>
        </w:rPr>
        <w:t xml:space="preserve">Plumeria sp </w:t>
      </w:r>
      <w:r w:rsidRPr="005A3773">
        <w:t xml:space="preserve">(Pau de leite, Janguba), </w:t>
      </w:r>
      <w:r w:rsidRPr="005A3773">
        <w:rPr>
          <w:i/>
          <w:iCs/>
        </w:rPr>
        <w:t xml:space="preserve">Jatropha curcas </w:t>
      </w:r>
      <w:r w:rsidRPr="005A3773">
        <w:t xml:space="preserve">(Pinhão-branco, Pinhão-de purga), </w:t>
      </w:r>
      <w:r w:rsidRPr="005A3773">
        <w:rPr>
          <w:i/>
          <w:iCs/>
        </w:rPr>
        <w:t xml:space="preserve">Scopalaria dulcis </w:t>
      </w:r>
      <w:r w:rsidRPr="005A3773">
        <w:t xml:space="preserve">(Vassourinha) e </w:t>
      </w:r>
      <w:r w:rsidRPr="005A3773">
        <w:rPr>
          <w:i/>
          <w:iCs/>
        </w:rPr>
        <w:t xml:space="preserve">Croton sp </w:t>
      </w:r>
      <w:r w:rsidRPr="005A3773">
        <w:t xml:space="preserve">(Velame). </w:t>
      </w:r>
    </w:p>
    <w:p w:rsidR="00EB2D62" w:rsidRPr="005A3773" w:rsidRDefault="00EB2D62" w:rsidP="00840055">
      <w:pPr>
        <w:autoSpaceDE w:val="0"/>
        <w:autoSpaceDN w:val="0"/>
        <w:adjustRightInd w:val="0"/>
        <w:spacing w:line="480" w:lineRule="auto"/>
        <w:ind w:firstLine="567"/>
        <w:jc w:val="both"/>
      </w:pPr>
      <w:r w:rsidRPr="005A3773">
        <w:t xml:space="preserve">Almeida et al. (2003), em estudo realizado também </w:t>
      </w:r>
      <w:r w:rsidRPr="005A3773">
        <w:rPr>
          <w:i/>
          <w:iCs/>
        </w:rPr>
        <w:t xml:space="preserve">in vitro, </w:t>
      </w:r>
      <w:r w:rsidRPr="005A3773">
        <w:t xml:space="preserve">observaram a ação do extrato do </w:t>
      </w:r>
      <w:r w:rsidRPr="005A3773">
        <w:rPr>
          <w:i/>
          <w:iCs/>
        </w:rPr>
        <w:t xml:space="preserve">Cymbopogon citratus </w:t>
      </w:r>
      <w:r w:rsidRPr="005A3773">
        <w:t xml:space="preserve">e </w:t>
      </w:r>
      <w:r w:rsidRPr="005A3773">
        <w:rPr>
          <w:i/>
          <w:iCs/>
        </w:rPr>
        <w:t xml:space="preserve">Digitaria insularis </w:t>
      </w:r>
      <w:r w:rsidRPr="005A3773">
        <w:t xml:space="preserve">sobre larvas de nematóides gastrintestinais de caprinos, constatando uma redução acima de 95,00% da superfamília </w:t>
      </w:r>
      <w:r w:rsidRPr="005A3773">
        <w:lastRenderedPageBreak/>
        <w:t xml:space="preserve">Strongyloidea. As dose administradas foram de 224 e 355,2 mg/mL, para as plantas respectivamente. </w:t>
      </w:r>
    </w:p>
    <w:p w:rsidR="008D4116" w:rsidRPr="005A3773" w:rsidRDefault="00172DD4" w:rsidP="00070E60">
      <w:pPr>
        <w:autoSpaceDE w:val="0"/>
        <w:autoSpaceDN w:val="0"/>
        <w:adjustRightInd w:val="0"/>
        <w:spacing w:line="480" w:lineRule="auto"/>
        <w:ind w:firstLine="567"/>
        <w:jc w:val="both"/>
      </w:pPr>
      <w:r w:rsidRPr="005A3773">
        <w:t xml:space="preserve">A exposição das larvas de helmintos gastrintestinais ao extrato da </w:t>
      </w:r>
      <w:r w:rsidR="00661751" w:rsidRPr="005A3773">
        <w:t>B</w:t>
      </w:r>
      <w:r w:rsidRPr="005A3773">
        <w:t>atata de purga em períodos conseguintes (24, 48 e 72h) resultou na redução significat</w:t>
      </w:r>
      <w:r w:rsidR="00661751" w:rsidRPr="005A3773">
        <w:t>iva do número de larvas viáveis.</w:t>
      </w:r>
      <w:r w:rsidRPr="005A3773">
        <w:t xml:space="preserve"> </w:t>
      </w:r>
      <w:r w:rsidR="00661751" w:rsidRPr="005A3773">
        <w:t>E</w:t>
      </w:r>
      <w:r w:rsidRPr="005A3773">
        <w:t xml:space="preserve">sta redução se deu em relação ao tempo de exposição, sendo o período de 72h responsável pelos menores valores, quando comparados com 24 e 48 horas. A concentração do extrato da </w:t>
      </w:r>
      <w:r w:rsidR="00661751" w:rsidRPr="005A3773">
        <w:t>B</w:t>
      </w:r>
      <w:r w:rsidRPr="005A3773">
        <w:t xml:space="preserve">atata de purga foi responsável pela redução no percentual de larvas viáveis, onde se observa que o extrato na concentração de 50% foi capaz de inviabilizar </w:t>
      </w:r>
      <w:r w:rsidR="00661751" w:rsidRPr="005A3773">
        <w:t>63</w:t>
      </w:r>
      <w:r w:rsidRPr="005A3773">
        <w:t>,</w:t>
      </w:r>
      <w:r w:rsidR="00661751" w:rsidRPr="005A3773">
        <w:t>11</w:t>
      </w:r>
      <w:r w:rsidRPr="005A3773">
        <w:t>% das larvas (</w:t>
      </w:r>
      <w:r w:rsidR="004D5A4C" w:rsidRPr="005A3773">
        <w:t>Figura 2</w:t>
      </w:r>
      <w:r w:rsidRPr="005A3773">
        <w:t>). Fato este atribuído ao tempo de exposição do extrato, bem como a concentração do mesmo.</w:t>
      </w:r>
    </w:p>
    <w:p w:rsidR="000E291F" w:rsidRPr="005A3773" w:rsidRDefault="004D5A4C" w:rsidP="00B245A1">
      <w:pPr>
        <w:spacing w:line="480" w:lineRule="auto"/>
        <w:ind w:firstLine="567"/>
        <w:jc w:val="both"/>
      </w:pPr>
      <w:r w:rsidRPr="005A3773">
        <w:t>Constatou-se</w:t>
      </w:r>
      <w:r w:rsidR="00172DD4" w:rsidRPr="005A3773">
        <w:t xml:space="preserve"> que quanto maior o tempo de exposição dos ovos e larvas aos tratamentos aplicados</w:t>
      </w:r>
      <w:r w:rsidRPr="005A3773">
        <w:t>,</w:t>
      </w:r>
      <w:r w:rsidR="00172DD4" w:rsidRPr="005A3773">
        <w:t xml:space="preserve"> maior seria sua ação, sendo, portanto</w:t>
      </w:r>
      <w:r w:rsidR="00F624C8" w:rsidRPr="005A3773">
        <w:t>,</w:t>
      </w:r>
      <w:r w:rsidR="00172DD4" w:rsidRPr="005A3773">
        <w:t xml:space="preserve"> o tempo de 72 horas responsável pelos menores percentuais de ovos e larvas viáveis.</w:t>
      </w:r>
      <w:r w:rsidR="00AA6CFB" w:rsidRPr="005A3773">
        <w:t xml:space="preserve"> </w:t>
      </w:r>
    </w:p>
    <w:p w:rsidR="006F7335" w:rsidRPr="005A3773" w:rsidRDefault="006F7335" w:rsidP="00B245A1">
      <w:pPr>
        <w:autoSpaceDE w:val="0"/>
        <w:autoSpaceDN w:val="0"/>
        <w:adjustRightInd w:val="0"/>
        <w:spacing w:line="480" w:lineRule="auto"/>
        <w:jc w:val="center"/>
        <w:rPr>
          <w:b/>
        </w:rPr>
      </w:pPr>
      <w:r w:rsidRPr="005A3773">
        <w:rPr>
          <w:b/>
        </w:rPr>
        <w:t>CONCLUSÕES</w:t>
      </w:r>
    </w:p>
    <w:p w:rsidR="006F7335" w:rsidRPr="005A3773" w:rsidRDefault="006F7335" w:rsidP="00B245A1">
      <w:pPr>
        <w:autoSpaceDE w:val="0"/>
        <w:autoSpaceDN w:val="0"/>
        <w:adjustRightInd w:val="0"/>
        <w:spacing w:line="480" w:lineRule="auto"/>
        <w:ind w:firstLine="567"/>
        <w:jc w:val="both"/>
      </w:pPr>
      <w:r w:rsidRPr="005A3773">
        <w:t xml:space="preserve">Os resultados obtidos neste estudo sugerem que o extrato da Batata de Purga é eficaz no tratamento </w:t>
      </w:r>
      <w:r w:rsidRPr="005A3773">
        <w:rPr>
          <w:i/>
        </w:rPr>
        <w:t>in vitro</w:t>
      </w:r>
      <w:r w:rsidRPr="005A3773">
        <w:t xml:space="preserve"> de nematóides gastrintestinais de caprinos. No entanto, </w:t>
      </w:r>
      <w:r w:rsidR="004D5A4C" w:rsidRPr="005A3773">
        <w:t xml:space="preserve">mais </w:t>
      </w:r>
      <w:r w:rsidRPr="005A3773">
        <w:t xml:space="preserve">estudos </w:t>
      </w:r>
      <w:r w:rsidRPr="005A3773">
        <w:rPr>
          <w:i/>
        </w:rPr>
        <w:t>in vivo</w:t>
      </w:r>
      <w:r w:rsidRPr="005A3773">
        <w:t xml:space="preserve"> são necessários para validar o seu uso</w:t>
      </w:r>
      <w:r w:rsidR="004D5A4C" w:rsidRPr="005A3773">
        <w:t xml:space="preserve"> </w:t>
      </w:r>
      <w:r w:rsidRPr="005A3773">
        <w:t>no controle alternativo das parasitoses nos animais.</w:t>
      </w:r>
    </w:p>
    <w:p w:rsidR="00B74AD6" w:rsidRPr="005A3773" w:rsidRDefault="00B74AD6" w:rsidP="006F7335">
      <w:pPr>
        <w:autoSpaceDE w:val="0"/>
        <w:autoSpaceDN w:val="0"/>
        <w:adjustRightInd w:val="0"/>
        <w:spacing w:line="480" w:lineRule="auto"/>
        <w:jc w:val="center"/>
      </w:pPr>
      <w:r w:rsidRPr="005A3773">
        <w:rPr>
          <w:b/>
          <w:bCs/>
        </w:rPr>
        <w:t>REFERÊNCIA</w:t>
      </w:r>
      <w:r w:rsidR="005615E7" w:rsidRPr="005A3773">
        <w:rPr>
          <w:b/>
          <w:bCs/>
        </w:rPr>
        <w:t>S</w:t>
      </w:r>
    </w:p>
    <w:p w:rsidR="00B74AD6" w:rsidRPr="00B245A1" w:rsidRDefault="00B74AD6" w:rsidP="005A3773">
      <w:pPr>
        <w:autoSpaceDE w:val="0"/>
        <w:autoSpaceDN w:val="0"/>
        <w:adjustRightInd w:val="0"/>
        <w:jc w:val="both"/>
      </w:pPr>
      <w:r w:rsidRPr="00B245A1">
        <w:t>ALMEIDA, M.</w:t>
      </w:r>
      <w:r w:rsidR="005A3773" w:rsidRPr="00B245A1">
        <w:t xml:space="preserve"> </w:t>
      </w:r>
      <w:r w:rsidRPr="00B245A1">
        <w:t>A.</w:t>
      </w:r>
      <w:r w:rsidR="005A3773" w:rsidRPr="00B245A1">
        <w:t xml:space="preserve"> O. et</w:t>
      </w:r>
      <w:r w:rsidR="005615E7" w:rsidRPr="00B245A1">
        <w:t xml:space="preserve"> </w:t>
      </w:r>
      <w:r w:rsidRPr="00B245A1">
        <w:t xml:space="preserve">al. Efeitos dos extratos aquosos de folhas de </w:t>
      </w:r>
      <w:r w:rsidRPr="00B245A1">
        <w:rPr>
          <w:i/>
          <w:iCs/>
        </w:rPr>
        <w:t xml:space="preserve">Cymbopogon citratus </w:t>
      </w:r>
      <w:r w:rsidRPr="00B245A1">
        <w:t xml:space="preserve">Linn. (capim santo) e de </w:t>
      </w:r>
      <w:r w:rsidRPr="00B245A1">
        <w:rPr>
          <w:i/>
          <w:iCs/>
        </w:rPr>
        <w:t xml:space="preserve">Digitalia insularis </w:t>
      </w:r>
      <w:r w:rsidRPr="00B245A1">
        <w:t>Linn. (capim aç</w:t>
      </w:r>
      <w:r w:rsidR="005A3773" w:rsidRPr="00B245A1">
        <w:t>ú</w:t>
      </w:r>
      <w:r w:rsidRPr="00B245A1">
        <w:t>) sobre cultivo de larvas de nematódeos gastrintestinais de caprinos</w:t>
      </w:r>
      <w:r w:rsidRPr="00B245A1">
        <w:rPr>
          <w:bCs/>
        </w:rPr>
        <w:t xml:space="preserve">. </w:t>
      </w:r>
      <w:r w:rsidRPr="00B245A1">
        <w:rPr>
          <w:b/>
          <w:iCs/>
        </w:rPr>
        <w:t>Revista Brasileira de Parasitologia Veterinária</w:t>
      </w:r>
      <w:r w:rsidRPr="00B245A1">
        <w:t>, Rio de Janeiro, v. 12, n. 3, p. 125-129, 2003.</w:t>
      </w:r>
    </w:p>
    <w:p w:rsidR="00B74AD6" w:rsidRPr="00B245A1" w:rsidRDefault="00B74AD6" w:rsidP="005A3773">
      <w:pPr>
        <w:autoSpaceDE w:val="0"/>
        <w:autoSpaceDN w:val="0"/>
        <w:adjustRightInd w:val="0"/>
        <w:jc w:val="both"/>
      </w:pPr>
    </w:p>
    <w:p w:rsidR="0072335A" w:rsidRPr="00B245A1" w:rsidRDefault="0072335A" w:rsidP="005A3773">
      <w:pPr>
        <w:jc w:val="both"/>
        <w:rPr>
          <w:bCs/>
        </w:rPr>
      </w:pPr>
      <w:r w:rsidRPr="00B245A1">
        <w:t>ALMEIDA, W.</w:t>
      </w:r>
      <w:r w:rsidR="005A3773" w:rsidRPr="00B245A1">
        <w:t xml:space="preserve"> </w:t>
      </w:r>
      <w:r w:rsidRPr="00B245A1">
        <w:rPr>
          <w:bCs/>
        </w:rPr>
        <w:t>V.</w:t>
      </w:r>
      <w:r w:rsidR="005A3773" w:rsidRPr="00B245A1">
        <w:rPr>
          <w:bCs/>
        </w:rPr>
        <w:t xml:space="preserve"> </w:t>
      </w:r>
      <w:r w:rsidRPr="00B245A1">
        <w:rPr>
          <w:bCs/>
        </w:rPr>
        <w:t xml:space="preserve">F. </w:t>
      </w:r>
      <w:r w:rsidRPr="00B245A1">
        <w:rPr>
          <w:b/>
        </w:rPr>
        <w:t>Uso de plantas medicinais no controle de helmintos gastrintestinais de caprinos naturalmente infectados</w:t>
      </w:r>
      <w:r w:rsidRPr="00B245A1">
        <w:rPr>
          <w:b/>
          <w:bCs/>
        </w:rPr>
        <w:t>.</w:t>
      </w:r>
      <w:r w:rsidRPr="00B245A1">
        <w:rPr>
          <w:bCs/>
        </w:rPr>
        <w:t xml:space="preserve"> </w:t>
      </w:r>
      <w:r w:rsidR="005A3773" w:rsidRPr="00B245A1">
        <w:rPr>
          <w:bCs/>
        </w:rPr>
        <w:t xml:space="preserve">Patos: Universidade Federal de Campina Grande, 2005. 63p. </w:t>
      </w:r>
      <w:r w:rsidRPr="00B245A1">
        <w:rPr>
          <w:bCs/>
        </w:rPr>
        <w:t>Dissertação (Mestrado em Zootecnia) – Universidade F</w:t>
      </w:r>
      <w:r w:rsidR="005A3773" w:rsidRPr="00B245A1">
        <w:rPr>
          <w:bCs/>
        </w:rPr>
        <w:t>ederal de Campina Grande, 2005.</w:t>
      </w:r>
    </w:p>
    <w:p w:rsidR="005A3773" w:rsidRPr="00B245A1" w:rsidRDefault="005A3773" w:rsidP="005A3773">
      <w:pPr>
        <w:jc w:val="both"/>
        <w:rPr>
          <w:bCs/>
        </w:rPr>
      </w:pPr>
    </w:p>
    <w:p w:rsidR="00B74AD6" w:rsidRPr="00B245A1" w:rsidRDefault="00B74AD6" w:rsidP="005A3773">
      <w:pPr>
        <w:autoSpaceDE w:val="0"/>
        <w:autoSpaceDN w:val="0"/>
        <w:adjustRightInd w:val="0"/>
        <w:jc w:val="both"/>
        <w:rPr>
          <w:lang w:val="en-US"/>
        </w:rPr>
      </w:pPr>
      <w:r w:rsidRPr="00B245A1">
        <w:t>ATHAYDE, A.</w:t>
      </w:r>
      <w:r w:rsidR="00353887" w:rsidRPr="00B245A1">
        <w:t xml:space="preserve"> </w:t>
      </w:r>
      <w:r w:rsidRPr="00B245A1">
        <w:t>C.</w:t>
      </w:r>
      <w:r w:rsidR="00353887" w:rsidRPr="00B245A1">
        <w:t xml:space="preserve"> </w:t>
      </w:r>
      <w:r w:rsidRPr="00B245A1">
        <w:t>R.; ALMEIDA, W.</w:t>
      </w:r>
      <w:r w:rsidR="00353887" w:rsidRPr="00B245A1">
        <w:t xml:space="preserve"> </w:t>
      </w:r>
      <w:r w:rsidRPr="00B245A1">
        <w:t>V.; MORAES, L.</w:t>
      </w:r>
      <w:r w:rsidR="00353887" w:rsidRPr="00B245A1">
        <w:t xml:space="preserve"> </w:t>
      </w:r>
      <w:r w:rsidRPr="00B245A1">
        <w:t>F.</w:t>
      </w:r>
      <w:r w:rsidR="00353887" w:rsidRPr="00B245A1">
        <w:t xml:space="preserve"> </w:t>
      </w:r>
      <w:r w:rsidRPr="00B245A1">
        <w:t>F.; LIMA, R.</w:t>
      </w:r>
      <w:r w:rsidR="00353887" w:rsidRPr="00B245A1">
        <w:t xml:space="preserve"> </w:t>
      </w:r>
      <w:r w:rsidRPr="00B245A1">
        <w:t>C.</w:t>
      </w:r>
      <w:r w:rsidR="00353887" w:rsidRPr="00B245A1">
        <w:t xml:space="preserve"> </w:t>
      </w:r>
      <w:r w:rsidRPr="00B245A1">
        <w:t>A. Difusão do Uso de Plantas Medicinais Anti</w:t>
      </w:r>
      <w:r w:rsidR="00353887" w:rsidRPr="00B245A1">
        <w:t>-</w:t>
      </w:r>
      <w:r w:rsidRPr="00B245A1">
        <w:t xml:space="preserve">helmínticas na Produção de Caprinos do Sistema de </w:t>
      </w:r>
      <w:r w:rsidRPr="00B245A1">
        <w:lastRenderedPageBreak/>
        <w:t xml:space="preserve">Produção da Região de Patos, PB. In: </w:t>
      </w:r>
      <w:r w:rsidR="00353887" w:rsidRPr="00B245A1">
        <w:rPr>
          <w:iCs/>
        </w:rPr>
        <w:t>II CONGRESSO BRASILEIRO DE EXTENSÃO UNIVERSITÁRIA: RECONHECER DIFERENÇAS, CONSTRUIR RESULTADOS</w:t>
      </w:r>
      <w:r w:rsidRPr="00B245A1">
        <w:t xml:space="preserve">, 2004, Belo Horizonte. </w:t>
      </w:r>
      <w:r w:rsidR="00353887" w:rsidRPr="00B245A1">
        <w:rPr>
          <w:b/>
          <w:lang w:val="en-US"/>
        </w:rPr>
        <w:t>Anais</w:t>
      </w:r>
      <w:r w:rsidRPr="00B245A1">
        <w:rPr>
          <w:lang w:val="en-US"/>
        </w:rPr>
        <w:t>... UNESCO. 2004. v. II, p. 498-506.</w:t>
      </w:r>
    </w:p>
    <w:p w:rsidR="001C1424" w:rsidRPr="00B245A1" w:rsidRDefault="001C1424" w:rsidP="005A3773">
      <w:pPr>
        <w:autoSpaceDE w:val="0"/>
        <w:autoSpaceDN w:val="0"/>
        <w:adjustRightInd w:val="0"/>
        <w:jc w:val="both"/>
        <w:rPr>
          <w:lang w:val="en-US"/>
        </w:rPr>
      </w:pPr>
    </w:p>
    <w:p w:rsidR="001C1424" w:rsidRPr="00B245A1" w:rsidRDefault="001C1424" w:rsidP="005A3773">
      <w:pPr>
        <w:jc w:val="both"/>
      </w:pPr>
      <w:r w:rsidRPr="00B245A1">
        <w:t>CHAGAS, A.</w:t>
      </w:r>
      <w:r w:rsidR="00070E60" w:rsidRPr="00B245A1">
        <w:t xml:space="preserve"> </w:t>
      </w:r>
      <w:r w:rsidRPr="00B245A1">
        <w:t>C.</w:t>
      </w:r>
      <w:r w:rsidR="00070E60" w:rsidRPr="00B245A1">
        <w:t xml:space="preserve"> </w:t>
      </w:r>
      <w:r w:rsidRPr="00B245A1">
        <w:t xml:space="preserve">S. Controle de parasitas utilizando extratos vegetais. </w:t>
      </w:r>
      <w:r w:rsidRPr="00B245A1">
        <w:rPr>
          <w:b/>
        </w:rPr>
        <w:t>Revista Brasileira de Parasitologia Veterinária</w:t>
      </w:r>
      <w:r w:rsidRPr="00B245A1">
        <w:t>, v. 13, supl</w:t>
      </w:r>
      <w:r w:rsidR="00070E60" w:rsidRPr="00B245A1">
        <w:t>.</w:t>
      </w:r>
      <w:r w:rsidRPr="00B245A1">
        <w:t xml:space="preserve"> 1, p.</w:t>
      </w:r>
      <w:r w:rsidR="00070E60" w:rsidRPr="00B245A1">
        <w:t xml:space="preserve"> </w:t>
      </w:r>
      <w:r w:rsidRPr="00B245A1">
        <w:t>156-160, 2004.</w:t>
      </w:r>
    </w:p>
    <w:p w:rsidR="0072335A" w:rsidRPr="00B245A1" w:rsidRDefault="0072335A" w:rsidP="005A3773">
      <w:pPr>
        <w:autoSpaceDE w:val="0"/>
        <w:autoSpaceDN w:val="0"/>
        <w:adjustRightInd w:val="0"/>
        <w:jc w:val="both"/>
      </w:pPr>
    </w:p>
    <w:p w:rsidR="00B74AD6" w:rsidRPr="00B245A1" w:rsidRDefault="00070E60" w:rsidP="005A3773">
      <w:pPr>
        <w:autoSpaceDE w:val="0"/>
        <w:autoSpaceDN w:val="0"/>
        <w:adjustRightInd w:val="0"/>
        <w:jc w:val="both"/>
      </w:pPr>
      <w:r w:rsidRPr="00B245A1">
        <w:t>GIRÃO, E. S; CARVALHO, J. H.</w:t>
      </w:r>
      <w:r w:rsidR="00B74AD6" w:rsidRPr="00B245A1">
        <w:t xml:space="preserve">; LOPES, A. S.; MEDEIROS, L. P.; GIRÃO, R. N. </w:t>
      </w:r>
      <w:r w:rsidR="00B74AD6" w:rsidRPr="00B245A1">
        <w:rPr>
          <w:bCs/>
        </w:rPr>
        <w:t>Avaliação de plantas me</w:t>
      </w:r>
      <w:r w:rsidRPr="00B245A1">
        <w:rPr>
          <w:bCs/>
        </w:rPr>
        <w:t>dicinais com efeito anti-helmí</w:t>
      </w:r>
      <w:r w:rsidR="00B74AD6" w:rsidRPr="00B245A1">
        <w:rPr>
          <w:bCs/>
        </w:rPr>
        <w:t>ntico para caprinos</w:t>
      </w:r>
      <w:r w:rsidR="00B74AD6" w:rsidRPr="00B245A1">
        <w:t>.Teresina: Embrapa Meio-Norte, 1998. 9 p. (Embrapa Meio-Norte. Pesquisa em andamento, 78).</w:t>
      </w:r>
    </w:p>
    <w:p w:rsidR="00325503" w:rsidRPr="00B245A1" w:rsidRDefault="00325503" w:rsidP="005A3773">
      <w:pPr>
        <w:autoSpaceDE w:val="0"/>
        <w:autoSpaceDN w:val="0"/>
        <w:adjustRightInd w:val="0"/>
        <w:jc w:val="both"/>
      </w:pPr>
    </w:p>
    <w:p w:rsidR="00B74AD6" w:rsidRPr="00B245A1" w:rsidRDefault="00B74AD6" w:rsidP="005A3773">
      <w:pPr>
        <w:autoSpaceDE w:val="0"/>
        <w:autoSpaceDN w:val="0"/>
        <w:adjustRightInd w:val="0"/>
        <w:jc w:val="both"/>
        <w:rPr>
          <w:lang w:val="en-US"/>
        </w:rPr>
      </w:pPr>
      <w:r w:rsidRPr="00B245A1">
        <w:t xml:space="preserve">GMC - GRUPO MERCADO COMUM. Regulamento técnico para registros de produtos antiparasitários de uso veterinário. </w:t>
      </w:r>
      <w:r w:rsidRPr="00B245A1">
        <w:rPr>
          <w:lang w:val="en-US"/>
        </w:rPr>
        <w:t xml:space="preserve">Resolução n. 11/93. </w:t>
      </w:r>
      <w:r w:rsidRPr="00B245A1">
        <w:rPr>
          <w:iCs/>
          <w:lang w:val="en-US"/>
        </w:rPr>
        <w:t>MERCOSUL</w:t>
      </w:r>
      <w:r w:rsidRPr="00B245A1">
        <w:rPr>
          <w:lang w:val="en-US"/>
        </w:rPr>
        <w:t>, Resolução n. 76, 1996. IDRIS, A.</w:t>
      </w:r>
      <w:r w:rsidR="00070E60" w:rsidRPr="00B245A1">
        <w:rPr>
          <w:lang w:val="en-US"/>
        </w:rPr>
        <w:t xml:space="preserve"> A.;</w:t>
      </w:r>
      <w:r w:rsidRPr="00B245A1">
        <w:rPr>
          <w:lang w:val="en-US"/>
        </w:rPr>
        <w:t xml:space="preserve"> ADAM, S.</w:t>
      </w:r>
      <w:r w:rsidR="00070E60" w:rsidRPr="00B245A1">
        <w:rPr>
          <w:lang w:val="en-US"/>
        </w:rPr>
        <w:t xml:space="preserve"> </w:t>
      </w:r>
      <w:r w:rsidRPr="00B245A1">
        <w:rPr>
          <w:lang w:val="en-US"/>
        </w:rPr>
        <w:t>E.</w:t>
      </w:r>
      <w:r w:rsidR="00070E60" w:rsidRPr="00B245A1">
        <w:rPr>
          <w:lang w:val="en-US"/>
        </w:rPr>
        <w:t xml:space="preserve"> I.;</w:t>
      </w:r>
      <w:r w:rsidRPr="00B245A1">
        <w:rPr>
          <w:lang w:val="en-US"/>
        </w:rPr>
        <w:t xml:space="preserve"> TARTOUR, G. The anthelmintic efficacy of Artemisia herba-alba against </w:t>
      </w:r>
      <w:r w:rsidRPr="00B245A1">
        <w:rPr>
          <w:i/>
          <w:iCs/>
          <w:lang w:val="en-US"/>
        </w:rPr>
        <w:t xml:space="preserve">Haemonchus </w:t>
      </w:r>
      <w:r w:rsidRPr="00B245A1">
        <w:rPr>
          <w:lang w:val="en-US"/>
        </w:rPr>
        <w:t xml:space="preserve">contortus infection in goats. </w:t>
      </w:r>
      <w:r w:rsidRPr="00B245A1">
        <w:rPr>
          <w:b/>
          <w:iCs/>
          <w:lang w:val="en-US"/>
        </w:rPr>
        <w:t>Nat</w:t>
      </w:r>
      <w:r w:rsidR="00070E60" w:rsidRPr="00B245A1">
        <w:rPr>
          <w:b/>
          <w:iCs/>
          <w:lang w:val="en-US"/>
        </w:rPr>
        <w:t>ural</w:t>
      </w:r>
      <w:r w:rsidRPr="00B245A1">
        <w:rPr>
          <w:b/>
          <w:iCs/>
          <w:lang w:val="en-US"/>
        </w:rPr>
        <w:t xml:space="preserve"> Inst</w:t>
      </w:r>
      <w:r w:rsidR="00070E60" w:rsidRPr="00B245A1">
        <w:rPr>
          <w:b/>
          <w:iCs/>
          <w:lang w:val="en-US"/>
        </w:rPr>
        <w:t>itute</w:t>
      </w:r>
      <w:r w:rsidRPr="00B245A1">
        <w:rPr>
          <w:b/>
          <w:iCs/>
          <w:lang w:val="en-US"/>
        </w:rPr>
        <w:t xml:space="preserve"> of Anim</w:t>
      </w:r>
      <w:r w:rsidR="00070E60" w:rsidRPr="00B245A1">
        <w:rPr>
          <w:b/>
          <w:iCs/>
          <w:lang w:val="en-US"/>
        </w:rPr>
        <w:t>al</w:t>
      </w:r>
      <w:r w:rsidRPr="00B245A1">
        <w:rPr>
          <w:b/>
          <w:iCs/>
          <w:lang w:val="en-US"/>
        </w:rPr>
        <w:t xml:space="preserve"> Heal</w:t>
      </w:r>
      <w:r w:rsidR="00070E60" w:rsidRPr="00B245A1">
        <w:rPr>
          <w:b/>
          <w:iCs/>
          <w:lang w:val="en-US"/>
        </w:rPr>
        <w:t>thy</w:t>
      </w:r>
      <w:r w:rsidRPr="00B245A1">
        <w:rPr>
          <w:lang w:val="en-US"/>
        </w:rPr>
        <w:t>, v.22, n. 3, p. 138-143, 1982.</w:t>
      </w:r>
    </w:p>
    <w:p w:rsidR="00B74AD6" w:rsidRPr="00B245A1" w:rsidRDefault="00B74AD6" w:rsidP="005A3773">
      <w:pPr>
        <w:autoSpaceDE w:val="0"/>
        <w:autoSpaceDN w:val="0"/>
        <w:adjustRightInd w:val="0"/>
        <w:jc w:val="both"/>
        <w:rPr>
          <w:lang w:val="en-US"/>
        </w:rPr>
      </w:pPr>
    </w:p>
    <w:p w:rsidR="00B74AD6" w:rsidRPr="00B245A1" w:rsidRDefault="00B74AD6" w:rsidP="005A3773">
      <w:pPr>
        <w:autoSpaceDE w:val="0"/>
        <w:autoSpaceDN w:val="0"/>
        <w:adjustRightInd w:val="0"/>
        <w:jc w:val="both"/>
        <w:rPr>
          <w:lang w:val="en-US"/>
        </w:rPr>
      </w:pPr>
      <w:r w:rsidRPr="00B245A1">
        <w:rPr>
          <w:lang w:val="en-US"/>
        </w:rPr>
        <w:t>GORDON, H.</w:t>
      </w:r>
      <w:r w:rsidR="00070E60" w:rsidRPr="00B245A1">
        <w:rPr>
          <w:lang w:val="en-US"/>
        </w:rPr>
        <w:t xml:space="preserve"> </w:t>
      </w:r>
      <w:r w:rsidRPr="00B245A1">
        <w:rPr>
          <w:lang w:val="en-US"/>
        </w:rPr>
        <w:t xml:space="preserve">M. </w:t>
      </w:r>
      <w:r w:rsidR="00070E60" w:rsidRPr="00B245A1">
        <w:rPr>
          <w:lang w:val="en-US"/>
        </w:rPr>
        <w:t>&amp;</w:t>
      </w:r>
      <w:r w:rsidRPr="00B245A1">
        <w:rPr>
          <w:lang w:val="en-US"/>
        </w:rPr>
        <w:t xml:space="preserve"> WHITHLOCK, H.</w:t>
      </w:r>
      <w:r w:rsidR="00070E60" w:rsidRPr="00B245A1">
        <w:rPr>
          <w:lang w:val="en-US"/>
        </w:rPr>
        <w:t xml:space="preserve"> </w:t>
      </w:r>
      <w:r w:rsidRPr="00B245A1">
        <w:rPr>
          <w:lang w:val="en-US"/>
        </w:rPr>
        <w:t xml:space="preserve">V. A new technique for counting nematode eggs insheep faeces. </w:t>
      </w:r>
      <w:r w:rsidR="00070E60" w:rsidRPr="00B245A1">
        <w:rPr>
          <w:rStyle w:val="nfase"/>
        </w:rPr>
        <w:t>Journal</w:t>
      </w:r>
      <w:r w:rsidR="00070E60" w:rsidRPr="00B245A1">
        <w:t xml:space="preserve"> </w:t>
      </w:r>
      <w:r w:rsidR="00070E60" w:rsidRPr="00B245A1">
        <w:rPr>
          <w:b/>
        </w:rPr>
        <w:t>of the</w:t>
      </w:r>
      <w:r w:rsidR="00070E60" w:rsidRPr="00B245A1">
        <w:t xml:space="preserve"> </w:t>
      </w:r>
      <w:r w:rsidR="00070E60" w:rsidRPr="00B245A1">
        <w:rPr>
          <w:rStyle w:val="nfase"/>
        </w:rPr>
        <w:t>Council</w:t>
      </w:r>
      <w:r w:rsidR="00070E60" w:rsidRPr="00B245A1">
        <w:t xml:space="preserve"> </w:t>
      </w:r>
      <w:r w:rsidR="00070E60" w:rsidRPr="00B245A1">
        <w:rPr>
          <w:b/>
        </w:rPr>
        <w:t>for Scientific and</w:t>
      </w:r>
      <w:r w:rsidR="00070E60" w:rsidRPr="00B245A1">
        <w:t xml:space="preserve"> </w:t>
      </w:r>
      <w:r w:rsidR="00070E60" w:rsidRPr="00B245A1">
        <w:rPr>
          <w:rStyle w:val="nfase"/>
        </w:rPr>
        <w:t>Industrial</w:t>
      </w:r>
      <w:r w:rsidR="00070E60" w:rsidRPr="00B245A1">
        <w:t xml:space="preserve"> </w:t>
      </w:r>
      <w:r w:rsidR="00070E60" w:rsidRPr="00B245A1">
        <w:rPr>
          <w:b/>
        </w:rPr>
        <w:t>Research</w:t>
      </w:r>
      <w:r w:rsidR="00325503" w:rsidRPr="00B245A1">
        <w:rPr>
          <w:lang w:val="en-US"/>
        </w:rPr>
        <w:t>, v.12, n.1, p.50-52, 1939</w:t>
      </w:r>
      <w:r w:rsidRPr="00B245A1">
        <w:rPr>
          <w:lang w:val="en-US"/>
        </w:rPr>
        <w:t>.</w:t>
      </w:r>
    </w:p>
    <w:p w:rsidR="001C1424" w:rsidRPr="00B245A1" w:rsidRDefault="001C1424" w:rsidP="005A3773">
      <w:pPr>
        <w:autoSpaceDE w:val="0"/>
        <w:autoSpaceDN w:val="0"/>
        <w:adjustRightInd w:val="0"/>
        <w:jc w:val="both"/>
        <w:rPr>
          <w:lang w:val="en-US"/>
        </w:rPr>
      </w:pPr>
    </w:p>
    <w:p w:rsidR="001C1424" w:rsidRPr="00B245A1" w:rsidRDefault="001C1424" w:rsidP="005A3773">
      <w:pPr>
        <w:autoSpaceDE w:val="0"/>
        <w:autoSpaceDN w:val="0"/>
        <w:adjustRightInd w:val="0"/>
        <w:jc w:val="both"/>
      </w:pPr>
      <w:r w:rsidRPr="00B245A1">
        <w:t>MATOS, F.</w:t>
      </w:r>
      <w:r w:rsidR="005A3773" w:rsidRPr="00B245A1">
        <w:t xml:space="preserve"> </w:t>
      </w:r>
      <w:r w:rsidRPr="00B245A1">
        <w:t>J.</w:t>
      </w:r>
      <w:r w:rsidR="005A3773" w:rsidRPr="00B245A1">
        <w:t xml:space="preserve"> </w:t>
      </w:r>
      <w:r w:rsidR="00353887" w:rsidRPr="00B245A1">
        <w:t>A.</w:t>
      </w:r>
      <w:r w:rsidRPr="00B245A1">
        <w:t xml:space="preserve"> </w:t>
      </w:r>
      <w:r w:rsidRPr="00B245A1">
        <w:rPr>
          <w:b/>
          <w:bCs/>
        </w:rPr>
        <w:t>Introdução à fitoquímica experimental</w:t>
      </w:r>
      <w:r w:rsidRPr="00B245A1">
        <w:t xml:space="preserve">. </w:t>
      </w:r>
      <w:r w:rsidR="005A3773" w:rsidRPr="00B245A1">
        <w:t>Fortaleza: UFC Edições, 1997,</w:t>
      </w:r>
      <w:r w:rsidRPr="00B245A1">
        <w:t xml:space="preserve"> p. 44-46.</w:t>
      </w:r>
    </w:p>
    <w:p w:rsidR="006B3DE7" w:rsidRPr="00B245A1" w:rsidRDefault="006B3DE7" w:rsidP="005A3773">
      <w:pPr>
        <w:autoSpaceDE w:val="0"/>
        <w:autoSpaceDN w:val="0"/>
        <w:adjustRightInd w:val="0"/>
        <w:jc w:val="both"/>
      </w:pPr>
    </w:p>
    <w:p w:rsidR="006B3DE7" w:rsidRPr="00B245A1" w:rsidRDefault="006B3DE7" w:rsidP="005A3773">
      <w:pPr>
        <w:autoSpaceDE w:val="0"/>
        <w:autoSpaceDN w:val="0"/>
        <w:adjustRightInd w:val="0"/>
        <w:jc w:val="both"/>
        <w:rPr>
          <w:lang w:val="en-US"/>
        </w:rPr>
      </w:pPr>
      <w:r w:rsidRPr="00B245A1">
        <w:rPr>
          <w:lang w:val="en-US"/>
        </w:rPr>
        <w:t xml:space="preserve">ROBERTS, F. H. S. &amp; O’ SULLIVAN, J. P. Methods of egg couts and laval cultures for strongyles infesting the gastrointestinal tract of cattle. </w:t>
      </w:r>
      <w:r w:rsidRPr="00B245A1">
        <w:rPr>
          <w:b/>
          <w:bCs/>
          <w:lang w:val="en-US"/>
        </w:rPr>
        <w:t>Australian Agriculture Research</w:t>
      </w:r>
      <w:r w:rsidR="00070E60" w:rsidRPr="00B245A1">
        <w:rPr>
          <w:bCs/>
          <w:lang w:val="en-US"/>
        </w:rPr>
        <w:t>,</w:t>
      </w:r>
      <w:r w:rsidR="00070E60" w:rsidRPr="00B245A1">
        <w:rPr>
          <w:lang w:val="en-US"/>
        </w:rPr>
        <w:t xml:space="preserve"> v. 1, p. 99-102,</w:t>
      </w:r>
      <w:r w:rsidRPr="00B245A1">
        <w:rPr>
          <w:lang w:val="en-US"/>
        </w:rPr>
        <w:t xml:space="preserve"> 1950.</w:t>
      </w:r>
    </w:p>
    <w:p w:rsidR="001C1424" w:rsidRPr="00B245A1" w:rsidRDefault="001C1424" w:rsidP="005A3773">
      <w:pPr>
        <w:autoSpaceDE w:val="0"/>
        <w:autoSpaceDN w:val="0"/>
        <w:adjustRightInd w:val="0"/>
        <w:jc w:val="both"/>
        <w:rPr>
          <w:lang w:val="en-US"/>
        </w:rPr>
      </w:pPr>
    </w:p>
    <w:p w:rsidR="001C1424" w:rsidRPr="00B245A1" w:rsidRDefault="001C1424" w:rsidP="005A3773">
      <w:pPr>
        <w:autoSpaceDE w:val="0"/>
        <w:autoSpaceDN w:val="0"/>
        <w:adjustRightInd w:val="0"/>
        <w:jc w:val="both"/>
      </w:pPr>
      <w:r w:rsidRPr="00B245A1">
        <w:t>ROEDER, R. Promoção da agricultura em regiões semi-áridas do Nordeste (Piauí) brasileiro: pesquisa sobre a pecuária nos planaltos da chapada. Teresina: DNOCS – 1</w:t>
      </w:r>
      <w:r w:rsidRPr="00B245A1">
        <w:rPr>
          <w:vertAlign w:val="superscript"/>
        </w:rPr>
        <w:t>a</w:t>
      </w:r>
      <w:r w:rsidRPr="00B245A1">
        <w:t xml:space="preserve"> DR, p. 125, 1988.</w:t>
      </w:r>
    </w:p>
    <w:p w:rsidR="00FC6ACC" w:rsidRPr="00B245A1" w:rsidRDefault="00FC6ACC" w:rsidP="005A3773">
      <w:pPr>
        <w:autoSpaceDE w:val="0"/>
        <w:autoSpaceDN w:val="0"/>
        <w:adjustRightInd w:val="0"/>
        <w:jc w:val="both"/>
      </w:pPr>
    </w:p>
    <w:p w:rsidR="00FC6ACC" w:rsidRPr="00B245A1" w:rsidRDefault="00FC6ACC" w:rsidP="005A3773">
      <w:pPr>
        <w:autoSpaceDE w:val="0"/>
        <w:autoSpaceDN w:val="0"/>
        <w:adjustRightInd w:val="0"/>
        <w:jc w:val="both"/>
      </w:pPr>
      <w:r w:rsidRPr="00B245A1">
        <w:rPr>
          <w:rStyle w:val="nfase"/>
          <w:b w:val="0"/>
        </w:rPr>
        <w:t>UENO</w:t>
      </w:r>
      <w:r w:rsidRPr="00B245A1">
        <w:rPr>
          <w:b/>
        </w:rPr>
        <w:t>,</w:t>
      </w:r>
      <w:r w:rsidRPr="00B245A1">
        <w:t xml:space="preserve"> H., </w:t>
      </w:r>
      <w:r w:rsidRPr="00B245A1">
        <w:rPr>
          <w:rStyle w:val="nfase"/>
          <w:b w:val="0"/>
        </w:rPr>
        <w:t>GUTIERREZ</w:t>
      </w:r>
      <w:r w:rsidRPr="00B245A1">
        <w:t>, V.</w:t>
      </w:r>
      <w:r w:rsidR="0089780F" w:rsidRPr="00B245A1">
        <w:t xml:space="preserve"> </w:t>
      </w:r>
      <w:r w:rsidRPr="00B245A1">
        <w:t xml:space="preserve">C. </w:t>
      </w:r>
      <w:r w:rsidRPr="00B245A1">
        <w:rPr>
          <w:b/>
        </w:rPr>
        <w:t>Manual para diagnóstico das he</w:t>
      </w:r>
      <w:r w:rsidR="0089780F" w:rsidRPr="00B245A1">
        <w:rPr>
          <w:b/>
        </w:rPr>
        <w:t>lmintoses de ruminantes</w:t>
      </w:r>
      <w:r w:rsidR="0089780F" w:rsidRPr="00B245A1">
        <w:t>. Tóquio:</w:t>
      </w:r>
      <w:r w:rsidRPr="00B245A1">
        <w:t xml:space="preserve"> Japan Intemational Coop</w:t>
      </w:r>
      <w:r w:rsidR="0089780F" w:rsidRPr="00B245A1">
        <w:t>erative Agency,</w:t>
      </w:r>
      <w:r w:rsidRPr="00B245A1">
        <w:t xml:space="preserve"> </w:t>
      </w:r>
      <w:r w:rsidRPr="00B245A1">
        <w:rPr>
          <w:rStyle w:val="nfase"/>
          <w:b w:val="0"/>
        </w:rPr>
        <w:t>1983</w:t>
      </w:r>
      <w:r w:rsidR="0089780F" w:rsidRPr="00B245A1">
        <w:t xml:space="preserve">, p. </w:t>
      </w:r>
      <w:r w:rsidRPr="00B245A1">
        <w:t>176</w:t>
      </w:r>
      <w:r w:rsidR="0089780F" w:rsidRPr="00B245A1">
        <w:t>.</w:t>
      </w:r>
      <w:r w:rsidRPr="00B245A1">
        <w:t xml:space="preserve"> </w:t>
      </w:r>
    </w:p>
    <w:p w:rsidR="001C1424" w:rsidRPr="00B245A1" w:rsidRDefault="001C1424" w:rsidP="005A3773">
      <w:pPr>
        <w:autoSpaceDE w:val="0"/>
        <w:autoSpaceDN w:val="0"/>
        <w:adjustRightInd w:val="0"/>
        <w:jc w:val="both"/>
      </w:pPr>
    </w:p>
    <w:p w:rsidR="001C1424" w:rsidRPr="00B245A1" w:rsidRDefault="001C1424" w:rsidP="005A3773">
      <w:pPr>
        <w:autoSpaceDE w:val="0"/>
        <w:autoSpaceDN w:val="0"/>
        <w:adjustRightInd w:val="0"/>
        <w:jc w:val="both"/>
      </w:pPr>
      <w:r w:rsidRPr="00B245A1">
        <w:t>VIEIRA, L. S. Epidemiologia e Controle das Principais Endoparasitoses de Caprinos e Ovinos, In: REUNIÃO ANUAL DA SOCIEDADE BRASILEIRA DE ZOOTECNIA, 28.</w:t>
      </w:r>
      <w:r w:rsidR="0089780F" w:rsidRPr="00B245A1">
        <w:t>, 1991,</w:t>
      </w:r>
      <w:r w:rsidRPr="00B245A1">
        <w:t xml:space="preserve"> João Pessoa</w:t>
      </w:r>
      <w:r w:rsidR="0089780F" w:rsidRPr="00B245A1">
        <w:t xml:space="preserve">. </w:t>
      </w:r>
      <w:r w:rsidR="0089780F" w:rsidRPr="00B245A1">
        <w:rPr>
          <w:b/>
        </w:rPr>
        <w:t>Anais...</w:t>
      </w:r>
      <w:r w:rsidR="0089780F" w:rsidRPr="00B245A1">
        <w:t xml:space="preserve"> João Pessoa:</w:t>
      </w:r>
      <w:r w:rsidRPr="00B245A1">
        <w:t xml:space="preserve"> Sociedade Brasileira de Zootecnia. Caprinocultura e Ovinocultura</w:t>
      </w:r>
      <w:r w:rsidR="0089780F" w:rsidRPr="00B245A1">
        <w:t>,</w:t>
      </w:r>
      <w:r w:rsidRPr="00B245A1">
        <w:t xml:space="preserve"> p. 27-36, 1991.</w:t>
      </w:r>
    </w:p>
    <w:p w:rsidR="00FC6ACC" w:rsidRPr="00B245A1" w:rsidRDefault="00FC6ACC" w:rsidP="005A3773">
      <w:pPr>
        <w:autoSpaceDE w:val="0"/>
        <w:autoSpaceDN w:val="0"/>
        <w:adjustRightInd w:val="0"/>
        <w:jc w:val="both"/>
      </w:pPr>
    </w:p>
    <w:p w:rsidR="00FC6ACC" w:rsidRPr="00B245A1" w:rsidRDefault="00FC6ACC" w:rsidP="005A3773">
      <w:pPr>
        <w:autoSpaceDE w:val="0"/>
        <w:autoSpaceDN w:val="0"/>
        <w:adjustRightInd w:val="0"/>
        <w:jc w:val="both"/>
        <w:rPr>
          <w:lang w:val="en-US"/>
        </w:rPr>
      </w:pPr>
      <w:r w:rsidRPr="00B245A1">
        <w:t>VIEIRA, L.</w:t>
      </w:r>
      <w:r w:rsidR="0089780F" w:rsidRPr="00B245A1">
        <w:t xml:space="preserve"> </w:t>
      </w:r>
      <w:r w:rsidRPr="00B245A1">
        <w:t>S. &amp; CAVALCANTE A.</w:t>
      </w:r>
      <w:r w:rsidR="0089780F" w:rsidRPr="00B245A1">
        <w:t xml:space="preserve"> </w:t>
      </w:r>
      <w:r w:rsidRPr="00B245A1">
        <w:t>C.</w:t>
      </w:r>
      <w:r w:rsidR="0089780F" w:rsidRPr="00B245A1">
        <w:t xml:space="preserve"> </w:t>
      </w:r>
      <w:r w:rsidRPr="00B245A1">
        <w:t>R. Resis</w:t>
      </w:r>
      <w:r w:rsidR="0089780F" w:rsidRPr="00B245A1">
        <w:t>tência anti-helmíntica em nematói</w:t>
      </w:r>
      <w:r w:rsidRPr="00B245A1">
        <w:t xml:space="preserve">des gastrintestinais de caprinos. </w:t>
      </w:r>
      <w:r w:rsidRPr="00B245A1">
        <w:rPr>
          <w:b/>
          <w:lang w:val="en-US"/>
        </w:rPr>
        <w:t>Revista Brasileira de Medicina Veterinária</w:t>
      </w:r>
      <w:r w:rsidRPr="00B245A1">
        <w:rPr>
          <w:lang w:val="en-US"/>
        </w:rPr>
        <w:t>, v.</w:t>
      </w:r>
      <w:r w:rsidR="0089780F" w:rsidRPr="00B245A1">
        <w:rPr>
          <w:lang w:val="en-US"/>
        </w:rPr>
        <w:t xml:space="preserve"> </w:t>
      </w:r>
      <w:r w:rsidRPr="00B245A1">
        <w:rPr>
          <w:lang w:val="en-US"/>
        </w:rPr>
        <w:t>20, n. 3, p. 112-117, 1998.</w:t>
      </w:r>
    </w:p>
    <w:p w:rsidR="00FC6ACC" w:rsidRDefault="00FC6ACC" w:rsidP="00B245A1">
      <w:pPr>
        <w:autoSpaceDE w:val="0"/>
        <w:autoSpaceDN w:val="0"/>
        <w:adjustRightInd w:val="0"/>
        <w:jc w:val="both"/>
      </w:pPr>
    </w:p>
    <w:p w:rsidR="00B245A1" w:rsidRDefault="00B245A1" w:rsidP="00B245A1">
      <w:pPr>
        <w:autoSpaceDE w:val="0"/>
        <w:autoSpaceDN w:val="0"/>
        <w:adjustRightInd w:val="0"/>
        <w:jc w:val="both"/>
      </w:pPr>
    </w:p>
    <w:p w:rsidR="00B245A1" w:rsidRDefault="00B245A1" w:rsidP="00B245A1">
      <w:pPr>
        <w:autoSpaceDE w:val="0"/>
        <w:autoSpaceDN w:val="0"/>
        <w:adjustRightInd w:val="0"/>
        <w:jc w:val="both"/>
      </w:pPr>
    </w:p>
    <w:p w:rsidR="00B245A1" w:rsidRDefault="00B245A1" w:rsidP="00B245A1">
      <w:pPr>
        <w:autoSpaceDE w:val="0"/>
        <w:autoSpaceDN w:val="0"/>
        <w:adjustRightInd w:val="0"/>
        <w:jc w:val="both"/>
      </w:pPr>
    </w:p>
    <w:p w:rsidR="00B245A1" w:rsidRDefault="00B245A1" w:rsidP="00B245A1">
      <w:pPr>
        <w:autoSpaceDE w:val="0"/>
        <w:autoSpaceDN w:val="0"/>
        <w:adjustRightInd w:val="0"/>
        <w:jc w:val="both"/>
      </w:pPr>
    </w:p>
    <w:p w:rsidR="00B245A1" w:rsidRPr="005A3773" w:rsidRDefault="00B245A1" w:rsidP="00B245A1">
      <w:pPr>
        <w:autoSpaceDE w:val="0"/>
        <w:autoSpaceDN w:val="0"/>
        <w:adjustRightInd w:val="0"/>
        <w:jc w:val="both"/>
      </w:pPr>
    </w:p>
    <w:p w:rsidR="00163CF8" w:rsidRDefault="00163CF8" w:rsidP="0089780F">
      <w:pPr>
        <w:spacing w:line="360" w:lineRule="auto"/>
        <w:jc w:val="both"/>
        <w:rPr>
          <w:bCs/>
        </w:rPr>
      </w:pPr>
    </w:p>
    <w:p w:rsidR="00163CF8" w:rsidRDefault="00163CF8" w:rsidP="0089780F">
      <w:pPr>
        <w:spacing w:line="360" w:lineRule="auto"/>
        <w:jc w:val="both"/>
        <w:rPr>
          <w:bCs/>
        </w:rPr>
      </w:pPr>
    </w:p>
    <w:p w:rsidR="004D5A4C" w:rsidRPr="005A3773" w:rsidRDefault="004D5A4C" w:rsidP="0089780F">
      <w:pPr>
        <w:spacing w:line="360" w:lineRule="auto"/>
        <w:jc w:val="both"/>
      </w:pPr>
      <w:r w:rsidRPr="005A3773">
        <w:rPr>
          <w:bCs/>
        </w:rPr>
        <w:t xml:space="preserve">Tabela 1- Eficácia anti-helmíntica </w:t>
      </w:r>
      <w:r w:rsidRPr="005A3773">
        <w:rPr>
          <w:bCs/>
          <w:i/>
        </w:rPr>
        <w:t>in vitro</w:t>
      </w:r>
      <w:r w:rsidRPr="005A3773">
        <w:rPr>
          <w:bCs/>
        </w:rPr>
        <w:t xml:space="preserve"> do extrato da Batata de purga em ovos de helmintos gastrintestinais de caprinos no semi-árido paraibano.</w:t>
      </w:r>
    </w:p>
    <w:tbl>
      <w:tblPr>
        <w:tblW w:w="0" w:type="auto"/>
        <w:jc w:val="center"/>
        <w:tblBorders>
          <w:top w:val="single" w:sz="4" w:space="0" w:color="auto"/>
          <w:bottom w:val="single" w:sz="4" w:space="0" w:color="auto"/>
          <w:insideH w:val="single" w:sz="4" w:space="0" w:color="auto"/>
        </w:tblBorders>
        <w:tblLook w:val="01E0"/>
      </w:tblPr>
      <w:tblGrid>
        <w:gridCol w:w="2102"/>
        <w:gridCol w:w="2104"/>
        <w:gridCol w:w="2104"/>
        <w:gridCol w:w="2104"/>
      </w:tblGrid>
      <w:tr w:rsidR="004D5A4C" w:rsidRPr="005A3773" w:rsidTr="00E552FC">
        <w:trPr>
          <w:trHeight w:val="280"/>
          <w:jc w:val="center"/>
        </w:trPr>
        <w:tc>
          <w:tcPr>
            <w:tcW w:w="2102" w:type="dxa"/>
            <w:tcBorders>
              <w:bottom w:val="single" w:sz="4" w:space="0" w:color="auto"/>
            </w:tcBorders>
          </w:tcPr>
          <w:p w:rsidR="004D5A4C" w:rsidRPr="005A3773" w:rsidRDefault="004D5A4C" w:rsidP="0089780F">
            <w:pPr>
              <w:spacing w:line="360" w:lineRule="auto"/>
              <w:jc w:val="both"/>
            </w:pPr>
            <w:r w:rsidRPr="005A3773">
              <w:t>OVV</w:t>
            </w:r>
          </w:p>
        </w:tc>
        <w:tc>
          <w:tcPr>
            <w:tcW w:w="2104" w:type="dxa"/>
            <w:tcBorders>
              <w:bottom w:val="single" w:sz="4" w:space="0" w:color="auto"/>
            </w:tcBorders>
          </w:tcPr>
          <w:p w:rsidR="004D5A4C" w:rsidRPr="005A3773" w:rsidRDefault="004D5A4C" w:rsidP="0089780F">
            <w:pPr>
              <w:spacing w:line="360" w:lineRule="auto"/>
              <w:jc w:val="center"/>
            </w:pPr>
            <w:r w:rsidRPr="005A3773">
              <w:t>24h</w:t>
            </w:r>
          </w:p>
        </w:tc>
        <w:tc>
          <w:tcPr>
            <w:tcW w:w="2104" w:type="dxa"/>
            <w:tcBorders>
              <w:bottom w:val="single" w:sz="4" w:space="0" w:color="auto"/>
            </w:tcBorders>
          </w:tcPr>
          <w:p w:rsidR="004D5A4C" w:rsidRPr="005A3773" w:rsidRDefault="004D5A4C" w:rsidP="0089780F">
            <w:pPr>
              <w:spacing w:line="360" w:lineRule="auto"/>
              <w:jc w:val="center"/>
            </w:pPr>
            <w:r w:rsidRPr="005A3773">
              <w:t>48h</w:t>
            </w:r>
          </w:p>
        </w:tc>
        <w:tc>
          <w:tcPr>
            <w:tcW w:w="2104" w:type="dxa"/>
            <w:tcBorders>
              <w:bottom w:val="single" w:sz="4" w:space="0" w:color="auto"/>
            </w:tcBorders>
          </w:tcPr>
          <w:p w:rsidR="004D5A4C" w:rsidRPr="005A3773" w:rsidRDefault="004D5A4C" w:rsidP="0089780F">
            <w:pPr>
              <w:spacing w:line="360" w:lineRule="auto"/>
              <w:jc w:val="center"/>
            </w:pPr>
            <w:r w:rsidRPr="005A3773">
              <w:t>72h</w:t>
            </w:r>
          </w:p>
        </w:tc>
      </w:tr>
      <w:tr w:rsidR="004D5A4C" w:rsidRPr="005A3773" w:rsidTr="00E552FC">
        <w:trPr>
          <w:trHeight w:val="280"/>
          <w:jc w:val="center"/>
        </w:trPr>
        <w:tc>
          <w:tcPr>
            <w:tcW w:w="2102" w:type="dxa"/>
            <w:tcBorders>
              <w:bottom w:val="nil"/>
            </w:tcBorders>
          </w:tcPr>
          <w:p w:rsidR="004D5A4C" w:rsidRPr="005A3773" w:rsidRDefault="004D5A4C" w:rsidP="0089780F">
            <w:pPr>
              <w:spacing w:line="360" w:lineRule="auto"/>
              <w:jc w:val="both"/>
            </w:pPr>
            <w:r w:rsidRPr="005A3773">
              <w:t>Testemunha</w:t>
            </w:r>
          </w:p>
        </w:tc>
        <w:tc>
          <w:tcPr>
            <w:tcW w:w="2104" w:type="dxa"/>
            <w:tcBorders>
              <w:bottom w:val="nil"/>
            </w:tcBorders>
          </w:tcPr>
          <w:p w:rsidR="004D5A4C" w:rsidRPr="005A3773" w:rsidRDefault="004D5A4C" w:rsidP="0089780F">
            <w:pPr>
              <w:spacing w:line="360" w:lineRule="auto"/>
              <w:jc w:val="center"/>
            </w:pPr>
            <w:r w:rsidRPr="005A3773">
              <w:t>95,67Aa</w:t>
            </w:r>
          </w:p>
        </w:tc>
        <w:tc>
          <w:tcPr>
            <w:tcW w:w="2104" w:type="dxa"/>
            <w:tcBorders>
              <w:bottom w:val="nil"/>
            </w:tcBorders>
          </w:tcPr>
          <w:p w:rsidR="004D5A4C" w:rsidRPr="005A3773" w:rsidRDefault="004D5A4C" w:rsidP="0089780F">
            <w:pPr>
              <w:spacing w:line="360" w:lineRule="auto"/>
              <w:jc w:val="center"/>
            </w:pPr>
            <w:r w:rsidRPr="005A3773">
              <w:t>96,33Aa</w:t>
            </w:r>
          </w:p>
        </w:tc>
        <w:tc>
          <w:tcPr>
            <w:tcW w:w="2104" w:type="dxa"/>
            <w:tcBorders>
              <w:bottom w:val="nil"/>
            </w:tcBorders>
          </w:tcPr>
          <w:p w:rsidR="004D5A4C" w:rsidRPr="005A3773" w:rsidRDefault="004D5A4C" w:rsidP="0089780F">
            <w:pPr>
              <w:spacing w:line="360" w:lineRule="auto"/>
              <w:jc w:val="center"/>
            </w:pPr>
            <w:r w:rsidRPr="005A3773">
              <w:t>92,33Aa</w:t>
            </w:r>
          </w:p>
        </w:tc>
      </w:tr>
      <w:tr w:rsidR="004D5A4C" w:rsidRPr="005A3773" w:rsidTr="00E552FC">
        <w:trPr>
          <w:trHeight w:val="298"/>
          <w:jc w:val="center"/>
        </w:trPr>
        <w:tc>
          <w:tcPr>
            <w:tcW w:w="2102" w:type="dxa"/>
            <w:tcBorders>
              <w:top w:val="nil"/>
              <w:bottom w:val="nil"/>
            </w:tcBorders>
          </w:tcPr>
          <w:p w:rsidR="004D5A4C" w:rsidRPr="005A3773" w:rsidRDefault="004D5A4C" w:rsidP="0089780F">
            <w:pPr>
              <w:spacing w:line="360" w:lineRule="auto"/>
              <w:jc w:val="both"/>
            </w:pPr>
            <w:r w:rsidRPr="005A3773">
              <w:t>Químico</w:t>
            </w:r>
          </w:p>
        </w:tc>
        <w:tc>
          <w:tcPr>
            <w:tcW w:w="2104" w:type="dxa"/>
            <w:tcBorders>
              <w:top w:val="nil"/>
              <w:bottom w:val="nil"/>
            </w:tcBorders>
          </w:tcPr>
          <w:p w:rsidR="004D5A4C" w:rsidRPr="005A3773" w:rsidRDefault="004D5A4C" w:rsidP="0089780F">
            <w:pPr>
              <w:spacing w:line="360" w:lineRule="auto"/>
              <w:jc w:val="center"/>
            </w:pPr>
            <w:r w:rsidRPr="005A3773">
              <w:t>93,63Aa</w:t>
            </w:r>
          </w:p>
        </w:tc>
        <w:tc>
          <w:tcPr>
            <w:tcW w:w="2104" w:type="dxa"/>
            <w:tcBorders>
              <w:top w:val="nil"/>
              <w:bottom w:val="nil"/>
            </w:tcBorders>
          </w:tcPr>
          <w:p w:rsidR="004D5A4C" w:rsidRPr="005A3773" w:rsidRDefault="004D5A4C" w:rsidP="0089780F">
            <w:pPr>
              <w:spacing w:line="360" w:lineRule="auto"/>
              <w:jc w:val="center"/>
            </w:pPr>
            <w:r w:rsidRPr="005A3773">
              <w:t>75,73Aa</w:t>
            </w:r>
          </w:p>
        </w:tc>
        <w:tc>
          <w:tcPr>
            <w:tcW w:w="2104" w:type="dxa"/>
            <w:tcBorders>
              <w:top w:val="nil"/>
              <w:bottom w:val="nil"/>
            </w:tcBorders>
          </w:tcPr>
          <w:p w:rsidR="004D5A4C" w:rsidRPr="005A3773" w:rsidRDefault="004D5A4C" w:rsidP="0089780F">
            <w:pPr>
              <w:spacing w:line="360" w:lineRule="auto"/>
              <w:jc w:val="center"/>
            </w:pPr>
            <w:r w:rsidRPr="005A3773">
              <w:t>52,83Bb</w:t>
            </w:r>
          </w:p>
        </w:tc>
      </w:tr>
      <w:tr w:rsidR="004D5A4C" w:rsidRPr="005A3773" w:rsidTr="00E552FC">
        <w:trPr>
          <w:trHeight w:val="298"/>
          <w:jc w:val="center"/>
        </w:trPr>
        <w:tc>
          <w:tcPr>
            <w:tcW w:w="2102" w:type="dxa"/>
            <w:tcBorders>
              <w:top w:val="nil"/>
              <w:bottom w:val="nil"/>
            </w:tcBorders>
          </w:tcPr>
          <w:p w:rsidR="004D5A4C" w:rsidRPr="005A3773" w:rsidRDefault="004D5A4C" w:rsidP="0089780F">
            <w:pPr>
              <w:spacing w:line="360" w:lineRule="auto"/>
              <w:jc w:val="both"/>
            </w:pPr>
            <w:r w:rsidRPr="005A3773">
              <w:t>Ext. 3%</w:t>
            </w:r>
          </w:p>
        </w:tc>
        <w:tc>
          <w:tcPr>
            <w:tcW w:w="2104" w:type="dxa"/>
            <w:tcBorders>
              <w:top w:val="nil"/>
              <w:bottom w:val="nil"/>
            </w:tcBorders>
          </w:tcPr>
          <w:p w:rsidR="004D5A4C" w:rsidRPr="005A3773" w:rsidRDefault="004D5A4C" w:rsidP="0089780F">
            <w:pPr>
              <w:spacing w:line="360" w:lineRule="auto"/>
              <w:jc w:val="center"/>
            </w:pPr>
            <w:r w:rsidRPr="005A3773">
              <w:t>88,33Aa</w:t>
            </w:r>
          </w:p>
        </w:tc>
        <w:tc>
          <w:tcPr>
            <w:tcW w:w="2104" w:type="dxa"/>
            <w:tcBorders>
              <w:top w:val="nil"/>
              <w:bottom w:val="nil"/>
            </w:tcBorders>
          </w:tcPr>
          <w:p w:rsidR="004D5A4C" w:rsidRPr="005A3773" w:rsidRDefault="004D5A4C" w:rsidP="0089780F">
            <w:pPr>
              <w:spacing w:line="360" w:lineRule="auto"/>
              <w:jc w:val="center"/>
            </w:pPr>
            <w:r w:rsidRPr="005A3773">
              <w:t>38,33Bb</w:t>
            </w:r>
          </w:p>
        </w:tc>
        <w:tc>
          <w:tcPr>
            <w:tcW w:w="2104" w:type="dxa"/>
            <w:tcBorders>
              <w:top w:val="nil"/>
              <w:bottom w:val="nil"/>
            </w:tcBorders>
          </w:tcPr>
          <w:p w:rsidR="004D5A4C" w:rsidRPr="005A3773" w:rsidRDefault="004D5A4C" w:rsidP="0089780F">
            <w:pPr>
              <w:spacing w:line="360" w:lineRule="auto"/>
              <w:jc w:val="center"/>
            </w:pPr>
            <w:r w:rsidRPr="005A3773">
              <w:t>52,53Bb</w:t>
            </w:r>
          </w:p>
        </w:tc>
      </w:tr>
      <w:tr w:rsidR="004D5A4C" w:rsidRPr="005A3773" w:rsidTr="00E552FC">
        <w:trPr>
          <w:trHeight w:val="280"/>
          <w:jc w:val="center"/>
        </w:trPr>
        <w:tc>
          <w:tcPr>
            <w:tcW w:w="2102" w:type="dxa"/>
            <w:tcBorders>
              <w:top w:val="nil"/>
              <w:bottom w:val="nil"/>
            </w:tcBorders>
          </w:tcPr>
          <w:p w:rsidR="004D5A4C" w:rsidRPr="005A3773" w:rsidRDefault="004D5A4C" w:rsidP="0089780F">
            <w:pPr>
              <w:spacing w:line="360" w:lineRule="auto"/>
              <w:jc w:val="both"/>
            </w:pPr>
            <w:r w:rsidRPr="005A3773">
              <w:t>Ext. 6%</w:t>
            </w:r>
          </w:p>
        </w:tc>
        <w:tc>
          <w:tcPr>
            <w:tcW w:w="2104" w:type="dxa"/>
            <w:tcBorders>
              <w:top w:val="nil"/>
              <w:bottom w:val="nil"/>
            </w:tcBorders>
          </w:tcPr>
          <w:p w:rsidR="004D5A4C" w:rsidRPr="005A3773" w:rsidRDefault="004D5A4C" w:rsidP="0089780F">
            <w:pPr>
              <w:spacing w:line="360" w:lineRule="auto"/>
              <w:jc w:val="center"/>
            </w:pPr>
            <w:r w:rsidRPr="005A3773">
              <w:t>77,83Aa</w:t>
            </w:r>
          </w:p>
        </w:tc>
        <w:tc>
          <w:tcPr>
            <w:tcW w:w="2104" w:type="dxa"/>
            <w:tcBorders>
              <w:top w:val="nil"/>
              <w:bottom w:val="nil"/>
            </w:tcBorders>
          </w:tcPr>
          <w:p w:rsidR="004D5A4C" w:rsidRPr="005A3773" w:rsidRDefault="004D5A4C" w:rsidP="0089780F">
            <w:pPr>
              <w:spacing w:line="360" w:lineRule="auto"/>
              <w:jc w:val="center"/>
            </w:pPr>
            <w:r w:rsidRPr="005A3773">
              <w:t>57,13ABa</w:t>
            </w:r>
          </w:p>
        </w:tc>
        <w:tc>
          <w:tcPr>
            <w:tcW w:w="2104" w:type="dxa"/>
            <w:tcBorders>
              <w:top w:val="nil"/>
              <w:bottom w:val="nil"/>
            </w:tcBorders>
          </w:tcPr>
          <w:p w:rsidR="004D5A4C" w:rsidRPr="005A3773" w:rsidRDefault="004D5A4C" w:rsidP="0089780F">
            <w:pPr>
              <w:spacing w:line="360" w:lineRule="auto"/>
              <w:jc w:val="center"/>
            </w:pPr>
            <w:r w:rsidRPr="005A3773">
              <w:t>68,07ABa</w:t>
            </w:r>
          </w:p>
        </w:tc>
      </w:tr>
      <w:tr w:rsidR="004D5A4C" w:rsidRPr="005A3773" w:rsidTr="00B245A1">
        <w:trPr>
          <w:trHeight w:val="348"/>
          <w:jc w:val="center"/>
        </w:trPr>
        <w:tc>
          <w:tcPr>
            <w:tcW w:w="2102" w:type="dxa"/>
            <w:tcBorders>
              <w:top w:val="nil"/>
              <w:bottom w:val="nil"/>
            </w:tcBorders>
          </w:tcPr>
          <w:p w:rsidR="004D5A4C" w:rsidRPr="005A3773" w:rsidRDefault="004D5A4C" w:rsidP="0089780F">
            <w:pPr>
              <w:spacing w:line="360" w:lineRule="auto"/>
              <w:jc w:val="both"/>
            </w:pPr>
            <w:r w:rsidRPr="005A3773">
              <w:t>Ext. 12%</w:t>
            </w:r>
          </w:p>
        </w:tc>
        <w:tc>
          <w:tcPr>
            <w:tcW w:w="2104" w:type="dxa"/>
            <w:tcBorders>
              <w:top w:val="nil"/>
              <w:bottom w:val="nil"/>
            </w:tcBorders>
          </w:tcPr>
          <w:p w:rsidR="004D5A4C" w:rsidRPr="005A3773" w:rsidRDefault="004D5A4C" w:rsidP="0089780F">
            <w:pPr>
              <w:spacing w:line="360" w:lineRule="auto"/>
              <w:jc w:val="center"/>
            </w:pPr>
            <w:r w:rsidRPr="005A3773">
              <w:t>67,57Aa</w:t>
            </w:r>
          </w:p>
        </w:tc>
        <w:tc>
          <w:tcPr>
            <w:tcW w:w="2104" w:type="dxa"/>
            <w:tcBorders>
              <w:top w:val="nil"/>
              <w:bottom w:val="nil"/>
            </w:tcBorders>
          </w:tcPr>
          <w:p w:rsidR="004D5A4C" w:rsidRPr="005A3773" w:rsidRDefault="004D5A4C" w:rsidP="0089780F">
            <w:pPr>
              <w:spacing w:line="360" w:lineRule="auto"/>
              <w:jc w:val="center"/>
            </w:pPr>
            <w:r w:rsidRPr="005A3773">
              <w:t>52,50ABa</w:t>
            </w:r>
          </w:p>
        </w:tc>
        <w:tc>
          <w:tcPr>
            <w:tcW w:w="2104" w:type="dxa"/>
            <w:tcBorders>
              <w:top w:val="nil"/>
              <w:bottom w:val="nil"/>
            </w:tcBorders>
          </w:tcPr>
          <w:p w:rsidR="004D5A4C" w:rsidRPr="005A3773" w:rsidRDefault="004D5A4C" w:rsidP="0089780F">
            <w:pPr>
              <w:spacing w:line="360" w:lineRule="auto"/>
              <w:jc w:val="center"/>
            </w:pPr>
            <w:r w:rsidRPr="005A3773">
              <w:t>59,60ABa</w:t>
            </w:r>
          </w:p>
        </w:tc>
      </w:tr>
      <w:tr w:rsidR="004D5A4C" w:rsidRPr="005A3773" w:rsidTr="00B245A1">
        <w:trPr>
          <w:trHeight w:val="354"/>
          <w:jc w:val="center"/>
        </w:trPr>
        <w:tc>
          <w:tcPr>
            <w:tcW w:w="2102" w:type="dxa"/>
            <w:tcBorders>
              <w:top w:val="nil"/>
              <w:bottom w:val="nil"/>
            </w:tcBorders>
          </w:tcPr>
          <w:p w:rsidR="004D5A4C" w:rsidRPr="005A3773" w:rsidRDefault="004D5A4C" w:rsidP="0089780F">
            <w:pPr>
              <w:spacing w:line="360" w:lineRule="auto"/>
              <w:jc w:val="both"/>
            </w:pPr>
            <w:r w:rsidRPr="005A3773">
              <w:t>Ext. 25%</w:t>
            </w:r>
          </w:p>
        </w:tc>
        <w:tc>
          <w:tcPr>
            <w:tcW w:w="2104" w:type="dxa"/>
            <w:tcBorders>
              <w:top w:val="nil"/>
              <w:bottom w:val="nil"/>
            </w:tcBorders>
          </w:tcPr>
          <w:p w:rsidR="004D5A4C" w:rsidRPr="005A3773" w:rsidRDefault="004D5A4C" w:rsidP="0089780F">
            <w:pPr>
              <w:spacing w:line="360" w:lineRule="auto"/>
              <w:jc w:val="center"/>
            </w:pPr>
            <w:r w:rsidRPr="005A3773">
              <w:t>21,53Ba</w:t>
            </w:r>
          </w:p>
        </w:tc>
        <w:tc>
          <w:tcPr>
            <w:tcW w:w="2104" w:type="dxa"/>
            <w:tcBorders>
              <w:top w:val="nil"/>
              <w:bottom w:val="nil"/>
            </w:tcBorders>
          </w:tcPr>
          <w:p w:rsidR="004D5A4C" w:rsidRPr="005A3773" w:rsidRDefault="004D5A4C" w:rsidP="0089780F">
            <w:pPr>
              <w:spacing w:line="360" w:lineRule="auto"/>
              <w:jc w:val="center"/>
            </w:pPr>
            <w:r w:rsidRPr="005A3773">
              <w:t>44,57ABa</w:t>
            </w:r>
          </w:p>
        </w:tc>
        <w:tc>
          <w:tcPr>
            <w:tcW w:w="2104" w:type="dxa"/>
            <w:tcBorders>
              <w:top w:val="nil"/>
              <w:bottom w:val="nil"/>
            </w:tcBorders>
          </w:tcPr>
          <w:p w:rsidR="004D5A4C" w:rsidRPr="005A3773" w:rsidRDefault="004D5A4C" w:rsidP="0089780F">
            <w:pPr>
              <w:spacing w:line="360" w:lineRule="auto"/>
              <w:jc w:val="center"/>
            </w:pPr>
            <w:r w:rsidRPr="005A3773">
              <w:t>53,07Ba</w:t>
            </w:r>
          </w:p>
        </w:tc>
      </w:tr>
      <w:tr w:rsidR="004D5A4C" w:rsidRPr="005A3773" w:rsidTr="00B245A1">
        <w:trPr>
          <w:trHeight w:val="219"/>
          <w:jc w:val="center"/>
        </w:trPr>
        <w:tc>
          <w:tcPr>
            <w:tcW w:w="2102" w:type="dxa"/>
            <w:tcBorders>
              <w:top w:val="nil"/>
            </w:tcBorders>
          </w:tcPr>
          <w:p w:rsidR="004D5A4C" w:rsidRPr="005A3773" w:rsidRDefault="004D5A4C" w:rsidP="0089780F">
            <w:pPr>
              <w:spacing w:line="360" w:lineRule="auto"/>
              <w:jc w:val="both"/>
            </w:pPr>
            <w:r w:rsidRPr="005A3773">
              <w:t>Ext. 50%</w:t>
            </w:r>
          </w:p>
        </w:tc>
        <w:tc>
          <w:tcPr>
            <w:tcW w:w="2104" w:type="dxa"/>
            <w:tcBorders>
              <w:top w:val="nil"/>
            </w:tcBorders>
          </w:tcPr>
          <w:p w:rsidR="004D5A4C" w:rsidRPr="005A3773" w:rsidRDefault="004D5A4C" w:rsidP="0089780F">
            <w:pPr>
              <w:spacing w:line="360" w:lineRule="auto"/>
              <w:jc w:val="center"/>
            </w:pPr>
            <w:r w:rsidRPr="005A3773">
              <w:t>20,93Ba</w:t>
            </w:r>
          </w:p>
        </w:tc>
        <w:tc>
          <w:tcPr>
            <w:tcW w:w="2104" w:type="dxa"/>
            <w:tcBorders>
              <w:top w:val="nil"/>
            </w:tcBorders>
          </w:tcPr>
          <w:p w:rsidR="004D5A4C" w:rsidRPr="005A3773" w:rsidRDefault="004D5A4C" w:rsidP="0089780F">
            <w:pPr>
              <w:spacing w:line="360" w:lineRule="auto"/>
              <w:jc w:val="center"/>
            </w:pPr>
            <w:r w:rsidRPr="005A3773">
              <w:t>38,00Ba</w:t>
            </w:r>
          </w:p>
        </w:tc>
        <w:tc>
          <w:tcPr>
            <w:tcW w:w="2104" w:type="dxa"/>
            <w:tcBorders>
              <w:top w:val="nil"/>
            </w:tcBorders>
          </w:tcPr>
          <w:p w:rsidR="004D5A4C" w:rsidRPr="005A3773" w:rsidRDefault="004D5A4C" w:rsidP="0089780F">
            <w:pPr>
              <w:spacing w:line="360" w:lineRule="auto"/>
              <w:jc w:val="center"/>
            </w:pPr>
            <w:r w:rsidRPr="005A3773">
              <w:t>29,77Ba</w:t>
            </w:r>
          </w:p>
        </w:tc>
      </w:tr>
    </w:tbl>
    <w:p w:rsidR="004D5A4C" w:rsidRPr="005A3773" w:rsidRDefault="004D5A4C" w:rsidP="0089780F">
      <w:pPr>
        <w:tabs>
          <w:tab w:val="left" w:pos="0"/>
        </w:tabs>
        <w:spacing w:line="360" w:lineRule="auto"/>
        <w:jc w:val="both"/>
        <w:rPr>
          <w:sz w:val="20"/>
          <w:szCs w:val="20"/>
        </w:rPr>
      </w:pPr>
      <w:r w:rsidRPr="005A3773">
        <w:rPr>
          <w:sz w:val="20"/>
          <w:szCs w:val="20"/>
        </w:rPr>
        <w:t>Letras maiúsculas iguais nas colunas e minúscula nas linhas não se diferem estatisticamente</w:t>
      </w:r>
      <w:r w:rsidR="0089780F">
        <w:rPr>
          <w:sz w:val="20"/>
          <w:szCs w:val="20"/>
        </w:rPr>
        <w:t xml:space="preserve"> p</w:t>
      </w:r>
      <w:r w:rsidRPr="005A3773">
        <w:rPr>
          <w:sz w:val="20"/>
          <w:szCs w:val="20"/>
        </w:rPr>
        <w:t>elo teste de tukey a 5%.  Obs: OVV= ovos viáveis.</w:t>
      </w:r>
    </w:p>
    <w:p w:rsidR="004D5A4C" w:rsidRDefault="004D5A4C" w:rsidP="004D5A4C">
      <w:pPr>
        <w:tabs>
          <w:tab w:val="left" w:pos="0"/>
        </w:tabs>
        <w:jc w:val="both"/>
        <w:rPr>
          <w:sz w:val="20"/>
          <w:szCs w:val="20"/>
        </w:rPr>
      </w:pPr>
    </w:p>
    <w:p w:rsidR="00163CF8" w:rsidRDefault="00163CF8" w:rsidP="004D5A4C">
      <w:pPr>
        <w:tabs>
          <w:tab w:val="left" w:pos="0"/>
        </w:tabs>
        <w:jc w:val="both"/>
        <w:rPr>
          <w:sz w:val="20"/>
          <w:szCs w:val="20"/>
        </w:rPr>
      </w:pPr>
    </w:p>
    <w:p w:rsidR="00163CF8" w:rsidRDefault="00163CF8" w:rsidP="004D5A4C">
      <w:pPr>
        <w:tabs>
          <w:tab w:val="left" w:pos="0"/>
        </w:tabs>
        <w:jc w:val="both"/>
        <w:rPr>
          <w:sz w:val="20"/>
          <w:szCs w:val="20"/>
        </w:rPr>
      </w:pPr>
    </w:p>
    <w:p w:rsidR="00163CF8" w:rsidRDefault="00163CF8" w:rsidP="004D5A4C">
      <w:pPr>
        <w:tabs>
          <w:tab w:val="left" w:pos="0"/>
        </w:tabs>
        <w:jc w:val="both"/>
        <w:rPr>
          <w:sz w:val="20"/>
          <w:szCs w:val="20"/>
        </w:rPr>
      </w:pPr>
    </w:p>
    <w:p w:rsidR="00163CF8" w:rsidRPr="005A3773" w:rsidRDefault="00163CF8" w:rsidP="004D5A4C">
      <w:pPr>
        <w:tabs>
          <w:tab w:val="left" w:pos="0"/>
        </w:tabs>
        <w:jc w:val="both"/>
        <w:rPr>
          <w:sz w:val="20"/>
          <w:szCs w:val="20"/>
        </w:rPr>
      </w:pPr>
    </w:p>
    <w:p w:rsidR="004D5A4C" w:rsidRPr="005A3773" w:rsidRDefault="004D5A4C" w:rsidP="00C712D1">
      <w:pPr>
        <w:autoSpaceDE w:val="0"/>
        <w:autoSpaceDN w:val="0"/>
        <w:adjustRightInd w:val="0"/>
        <w:jc w:val="both"/>
        <w:rPr>
          <w:rFonts w:ascii="Arial" w:hAnsi="Arial" w:cs="Arial"/>
        </w:rPr>
      </w:pPr>
    </w:p>
    <w:tbl>
      <w:tblPr>
        <w:tblpPr w:leftFromText="141" w:rightFromText="141" w:vertAnchor="text" w:horzAnchor="margin" w:tblpY="-42"/>
        <w:tblW w:w="0" w:type="auto"/>
        <w:tblLook w:val="04A0"/>
      </w:tblPr>
      <w:tblGrid>
        <w:gridCol w:w="8720"/>
      </w:tblGrid>
      <w:tr w:rsidR="004D5A4C" w:rsidRPr="005A3773" w:rsidTr="004D5A4C">
        <w:trPr>
          <w:trHeight w:val="27"/>
        </w:trPr>
        <w:tc>
          <w:tcPr>
            <w:tcW w:w="8613" w:type="dxa"/>
          </w:tcPr>
          <w:p w:rsidR="004D5A4C" w:rsidRPr="005A3773" w:rsidRDefault="004D5A4C" w:rsidP="004D5A4C">
            <w:pPr>
              <w:spacing w:line="360" w:lineRule="auto"/>
              <w:jc w:val="both"/>
            </w:pPr>
            <w:r w:rsidRPr="005A3773">
              <w:rPr>
                <w:bCs/>
              </w:rPr>
              <w:t xml:space="preserve">Figura 1- Eficácia anti-helmíntica </w:t>
            </w:r>
            <w:r w:rsidRPr="005A3773">
              <w:rPr>
                <w:bCs/>
                <w:i/>
              </w:rPr>
              <w:t>in vitro</w:t>
            </w:r>
            <w:r w:rsidRPr="005A3773">
              <w:rPr>
                <w:bCs/>
              </w:rPr>
              <w:t xml:space="preserve"> do extrato da Batata de purga sobre a viabilidade de ovos de helmintos gastrintestinais em relação ao tempo de exposição. </w:t>
            </w:r>
          </w:p>
          <w:p w:rsidR="004D5A4C" w:rsidRPr="005A3773" w:rsidRDefault="006B3DE7" w:rsidP="004D5A4C">
            <w:pPr>
              <w:spacing w:line="480" w:lineRule="auto"/>
              <w:jc w:val="both"/>
            </w:pPr>
            <w:r w:rsidRPr="005A3773">
              <w:rPr>
                <w:noProof/>
              </w:rPr>
              <w:drawing>
                <wp:inline distT="0" distB="0" distL="0" distR="0">
                  <wp:extent cx="5395866" cy="2697933"/>
                  <wp:effectExtent l="19050" t="0" r="14334" b="7167"/>
                  <wp:docPr id="1"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163CF8" w:rsidRDefault="00163CF8" w:rsidP="005F7B58">
      <w:pPr>
        <w:spacing w:line="360" w:lineRule="auto"/>
        <w:rPr>
          <w:bCs/>
        </w:rPr>
      </w:pPr>
    </w:p>
    <w:p w:rsidR="00163CF8" w:rsidRDefault="00163CF8" w:rsidP="005F7B58">
      <w:pPr>
        <w:spacing w:line="360" w:lineRule="auto"/>
        <w:rPr>
          <w:bCs/>
        </w:rPr>
      </w:pPr>
    </w:p>
    <w:p w:rsidR="00163CF8" w:rsidRDefault="00163CF8" w:rsidP="005F7B58">
      <w:pPr>
        <w:spacing w:line="360" w:lineRule="auto"/>
        <w:rPr>
          <w:bCs/>
        </w:rPr>
      </w:pPr>
    </w:p>
    <w:p w:rsidR="00023AA5" w:rsidRDefault="00023AA5" w:rsidP="005F7B58">
      <w:pPr>
        <w:spacing w:line="360" w:lineRule="auto"/>
        <w:rPr>
          <w:bCs/>
        </w:rPr>
      </w:pPr>
    </w:p>
    <w:p w:rsidR="00163CF8" w:rsidRDefault="00163CF8" w:rsidP="005F7B58">
      <w:pPr>
        <w:spacing w:line="360" w:lineRule="auto"/>
        <w:rPr>
          <w:bCs/>
        </w:rPr>
      </w:pPr>
    </w:p>
    <w:p w:rsidR="00163CF8" w:rsidRDefault="00163CF8" w:rsidP="005F7B58">
      <w:pPr>
        <w:spacing w:line="360" w:lineRule="auto"/>
        <w:rPr>
          <w:bCs/>
        </w:rPr>
      </w:pPr>
    </w:p>
    <w:p w:rsidR="005F7B58" w:rsidRPr="005A3773" w:rsidRDefault="005F7B58" w:rsidP="005F7B58">
      <w:pPr>
        <w:spacing w:line="360" w:lineRule="auto"/>
      </w:pPr>
      <w:r w:rsidRPr="005A3773">
        <w:rPr>
          <w:bCs/>
        </w:rPr>
        <w:t xml:space="preserve">Tabela </w:t>
      </w:r>
      <w:r w:rsidR="00BC25C2" w:rsidRPr="005A3773">
        <w:rPr>
          <w:bCs/>
        </w:rPr>
        <w:t>2</w:t>
      </w:r>
      <w:r w:rsidRPr="005A3773">
        <w:rPr>
          <w:bCs/>
        </w:rPr>
        <w:t xml:space="preserve">- Eficácia anti-helmíntica </w:t>
      </w:r>
      <w:r w:rsidRPr="005A3773">
        <w:rPr>
          <w:bCs/>
          <w:i/>
        </w:rPr>
        <w:t>in vitro</w:t>
      </w:r>
      <w:r w:rsidRPr="005A3773">
        <w:rPr>
          <w:bCs/>
        </w:rPr>
        <w:t xml:space="preserve"> do extrato da Batata de purga em larvas de helmintos gastrintestinais de caprinos no semi-árido paraibano.</w:t>
      </w:r>
    </w:p>
    <w:tbl>
      <w:tblPr>
        <w:tblW w:w="0" w:type="auto"/>
        <w:jc w:val="center"/>
        <w:tblBorders>
          <w:top w:val="single" w:sz="4" w:space="0" w:color="auto"/>
          <w:bottom w:val="single" w:sz="4" w:space="0" w:color="auto"/>
          <w:insideH w:val="single" w:sz="4" w:space="0" w:color="auto"/>
        </w:tblBorders>
        <w:tblLook w:val="01E0"/>
      </w:tblPr>
      <w:tblGrid>
        <w:gridCol w:w="2090"/>
        <w:gridCol w:w="2091"/>
        <w:gridCol w:w="2091"/>
        <w:gridCol w:w="2091"/>
      </w:tblGrid>
      <w:tr w:rsidR="005F7B58" w:rsidRPr="005A3773" w:rsidTr="00FE045C">
        <w:trPr>
          <w:trHeight w:val="284"/>
          <w:jc w:val="center"/>
        </w:trPr>
        <w:tc>
          <w:tcPr>
            <w:tcW w:w="2090" w:type="dxa"/>
            <w:tcBorders>
              <w:bottom w:val="single" w:sz="4" w:space="0" w:color="auto"/>
            </w:tcBorders>
          </w:tcPr>
          <w:p w:rsidR="005F7B58" w:rsidRPr="005A3773" w:rsidRDefault="005F7B58" w:rsidP="00FE045C">
            <w:pPr>
              <w:spacing w:line="360" w:lineRule="auto"/>
              <w:jc w:val="both"/>
            </w:pPr>
            <w:r w:rsidRPr="005A3773">
              <w:t>LVV</w:t>
            </w:r>
          </w:p>
        </w:tc>
        <w:tc>
          <w:tcPr>
            <w:tcW w:w="2091" w:type="dxa"/>
            <w:tcBorders>
              <w:bottom w:val="single" w:sz="4" w:space="0" w:color="auto"/>
            </w:tcBorders>
          </w:tcPr>
          <w:p w:rsidR="005F7B58" w:rsidRPr="005A3773" w:rsidRDefault="005F7B58" w:rsidP="00FE045C">
            <w:pPr>
              <w:spacing w:line="360" w:lineRule="auto"/>
              <w:jc w:val="center"/>
            </w:pPr>
            <w:r w:rsidRPr="005A3773">
              <w:t>24h</w:t>
            </w:r>
          </w:p>
        </w:tc>
        <w:tc>
          <w:tcPr>
            <w:tcW w:w="2091" w:type="dxa"/>
            <w:tcBorders>
              <w:bottom w:val="single" w:sz="4" w:space="0" w:color="auto"/>
            </w:tcBorders>
          </w:tcPr>
          <w:p w:rsidR="005F7B58" w:rsidRPr="005A3773" w:rsidRDefault="005F7B58" w:rsidP="00FE045C">
            <w:pPr>
              <w:spacing w:line="360" w:lineRule="auto"/>
              <w:jc w:val="center"/>
            </w:pPr>
            <w:r w:rsidRPr="005A3773">
              <w:t>48h</w:t>
            </w:r>
          </w:p>
        </w:tc>
        <w:tc>
          <w:tcPr>
            <w:tcW w:w="2091" w:type="dxa"/>
            <w:tcBorders>
              <w:bottom w:val="single" w:sz="4" w:space="0" w:color="auto"/>
            </w:tcBorders>
          </w:tcPr>
          <w:p w:rsidR="005F7B58" w:rsidRPr="005A3773" w:rsidRDefault="005F7B58" w:rsidP="00FE045C">
            <w:pPr>
              <w:spacing w:line="360" w:lineRule="auto"/>
              <w:jc w:val="center"/>
            </w:pPr>
            <w:r w:rsidRPr="005A3773">
              <w:t>72h</w:t>
            </w:r>
          </w:p>
        </w:tc>
      </w:tr>
      <w:tr w:rsidR="005F7B58" w:rsidRPr="005A3773" w:rsidTr="00FE045C">
        <w:trPr>
          <w:trHeight w:val="284"/>
          <w:jc w:val="center"/>
        </w:trPr>
        <w:tc>
          <w:tcPr>
            <w:tcW w:w="2090" w:type="dxa"/>
            <w:tcBorders>
              <w:bottom w:val="nil"/>
            </w:tcBorders>
          </w:tcPr>
          <w:p w:rsidR="005F7B58" w:rsidRPr="005A3773" w:rsidRDefault="005F7B58" w:rsidP="00FE045C">
            <w:pPr>
              <w:spacing w:line="360" w:lineRule="auto"/>
              <w:jc w:val="both"/>
            </w:pPr>
            <w:r w:rsidRPr="005A3773">
              <w:t>Testemunha</w:t>
            </w:r>
          </w:p>
        </w:tc>
        <w:tc>
          <w:tcPr>
            <w:tcW w:w="2091" w:type="dxa"/>
            <w:tcBorders>
              <w:bottom w:val="nil"/>
            </w:tcBorders>
          </w:tcPr>
          <w:p w:rsidR="005F7B58" w:rsidRPr="005A3773" w:rsidRDefault="005F7B58" w:rsidP="00FE045C">
            <w:pPr>
              <w:spacing w:line="360" w:lineRule="auto"/>
              <w:jc w:val="center"/>
            </w:pPr>
            <w:r w:rsidRPr="005A3773">
              <w:t>100,00Aa</w:t>
            </w:r>
          </w:p>
        </w:tc>
        <w:tc>
          <w:tcPr>
            <w:tcW w:w="2091" w:type="dxa"/>
            <w:tcBorders>
              <w:bottom w:val="nil"/>
            </w:tcBorders>
          </w:tcPr>
          <w:p w:rsidR="005F7B58" w:rsidRPr="005A3773" w:rsidRDefault="005F7B58" w:rsidP="00FE045C">
            <w:pPr>
              <w:spacing w:line="360" w:lineRule="auto"/>
              <w:jc w:val="center"/>
            </w:pPr>
            <w:r w:rsidRPr="005A3773">
              <w:t>100,00Aa</w:t>
            </w:r>
          </w:p>
        </w:tc>
        <w:tc>
          <w:tcPr>
            <w:tcW w:w="2091" w:type="dxa"/>
            <w:tcBorders>
              <w:bottom w:val="nil"/>
            </w:tcBorders>
          </w:tcPr>
          <w:p w:rsidR="005F7B58" w:rsidRPr="005A3773" w:rsidRDefault="005F7B58" w:rsidP="00FE045C">
            <w:pPr>
              <w:spacing w:line="360" w:lineRule="auto"/>
              <w:jc w:val="center"/>
            </w:pPr>
            <w:r w:rsidRPr="005A3773">
              <w:t>99,27Aa</w:t>
            </w:r>
          </w:p>
        </w:tc>
      </w:tr>
      <w:tr w:rsidR="005F7B58" w:rsidRPr="005A3773" w:rsidTr="00FE045C">
        <w:trPr>
          <w:trHeight w:val="284"/>
          <w:jc w:val="center"/>
        </w:trPr>
        <w:tc>
          <w:tcPr>
            <w:tcW w:w="2090" w:type="dxa"/>
            <w:tcBorders>
              <w:top w:val="nil"/>
              <w:bottom w:val="nil"/>
            </w:tcBorders>
          </w:tcPr>
          <w:p w:rsidR="005F7B58" w:rsidRPr="005A3773" w:rsidRDefault="005F7B58" w:rsidP="00FE045C">
            <w:pPr>
              <w:spacing w:line="360" w:lineRule="auto"/>
              <w:jc w:val="both"/>
            </w:pPr>
            <w:r w:rsidRPr="005A3773">
              <w:t>Químico</w:t>
            </w:r>
          </w:p>
        </w:tc>
        <w:tc>
          <w:tcPr>
            <w:tcW w:w="2091" w:type="dxa"/>
            <w:tcBorders>
              <w:top w:val="nil"/>
              <w:bottom w:val="nil"/>
            </w:tcBorders>
          </w:tcPr>
          <w:p w:rsidR="005F7B58" w:rsidRPr="005A3773" w:rsidRDefault="005F7B58" w:rsidP="00FE045C">
            <w:pPr>
              <w:spacing w:line="360" w:lineRule="auto"/>
              <w:jc w:val="center"/>
            </w:pPr>
            <w:r w:rsidRPr="005A3773">
              <w:t>100,00Aa</w:t>
            </w:r>
          </w:p>
        </w:tc>
        <w:tc>
          <w:tcPr>
            <w:tcW w:w="2091" w:type="dxa"/>
            <w:tcBorders>
              <w:top w:val="nil"/>
              <w:bottom w:val="nil"/>
            </w:tcBorders>
          </w:tcPr>
          <w:p w:rsidR="005F7B58" w:rsidRPr="005A3773" w:rsidRDefault="005F7B58" w:rsidP="00FE045C">
            <w:pPr>
              <w:spacing w:line="360" w:lineRule="auto"/>
              <w:jc w:val="center"/>
            </w:pPr>
            <w:r w:rsidRPr="005A3773">
              <w:t>98,43Aa</w:t>
            </w:r>
          </w:p>
        </w:tc>
        <w:tc>
          <w:tcPr>
            <w:tcW w:w="2091" w:type="dxa"/>
            <w:tcBorders>
              <w:top w:val="nil"/>
              <w:bottom w:val="nil"/>
            </w:tcBorders>
          </w:tcPr>
          <w:p w:rsidR="005F7B58" w:rsidRPr="005A3773" w:rsidRDefault="005F7B58" w:rsidP="00FE045C">
            <w:pPr>
              <w:spacing w:line="360" w:lineRule="auto"/>
              <w:jc w:val="center"/>
            </w:pPr>
            <w:r w:rsidRPr="005A3773">
              <w:t>95,97Aa</w:t>
            </w:r>
          </w:p>
        </w:tc>
      </w:tr>
      <w:tr w:rsidR="005F7B58" w:rsidRPr="005A3773" w:rsidTr="00FE045C">
        <w:trPr>
          <w:trHeight w:val="284"/>
          <w:jc w:val="center"/>
        </w:trPr>
        <w:tc>
          <w:tcPr>
            <w:tcW w:w="2090" w:type="dxa"/>
            <w:tcBorders>
              <w:top w:val="nil"/>
              <w:bottom w:val="nil"/>
            </w:tcBorders>
          </w:tcPr>
          <w:p w:rsidR="005F7B58" w:rsidRPr="005A3773" w:rsidRDefault="005F7B58" w:rsidP="00FE045C">
            <w:pPr>
              <w:spacing w:line="360" w:lineRule="auto"/>
              <w:jc w:val="both"/>
            </w:pPr>
            <w:r w:rsidRPr="005A3773">
              <w:t>Ext. 3%</w:t>
            </w:r>
          </w:p>
        </w:tc>
        <w:tc>
          <w:tcPr>
            <w:tcW w:w="2091" w:type="dxa"/>
            <w:tcBorders>
              <w:top w:val="nil"/>
              <w:bottom w:val="nil"/>
            </w:tcBorders>
          </w:tcPr>
          <w:p w:rsidR="005F7B58" w:rsidRPr="005A3773" w:rsidRDefault="005F7B58" w:rsidP="00FE045C">
            <w:pPr>
              <w:spacing w:line="360" w:lineRule="auto"/>
              <w:jc w:val="center"/>
            </w:pPr>
            <w:r w:rsidRPr="005A3773">
              <w:t>100,00Aa</w:t>
            </w:r>
          </w:p>
        </w:tc>
        <w:tc>
          <w:tcPr>
            <w:tcW w:w="2091" w:type="dxa"/>
            <w:tcBorders>
              <w:top w:val="nil"/>
              <w:bottom w:val="nil"/>
            </w:tcBorders>
          </w:tcPr>
          <w:p w:rsidR="005F7B58" w:rsidRPr="005A3773" w:rsidRDefault="005F7B58" w:rsidP="00FE045C">
            <w:pPr>
              <w:spacing w:line="360" w:lineRule="auto"/>
              <w:jc w:val="center"/>
            </w:pPr>
            <w:r w:rsidRPr="005A3773">
              <w:t>93,00ABa</w:t>
            </w:r>
          </w:p>
        </w:tc>
        <w:tc>
          <w:tcPr>
            <w:tcW w:w="2091" w:type="dxa"/>
            <w:tcBorders>
              <w:top w:val="nil"/>
              <w:bottom w:val="nil"/>
            </w:tcBorders>
          </w:tcPr>
          <w:p w:rsidR="005F7B58" w:rsidRPr="005A3773" w:rsidRDefault="005F7B58" w:rsidP="00FE045C">
            <w:pPr>
              <w:spacing w:line="360" w:lineRule="auto"/>
              <w:jc w:val="center"/>
            </w:pPr>
            <w:r w:rsidRPr="005A3773">
              <w:t>97,43Aa</w:t>
            </w:r>
          </w:p>
        </w:tc>
      </w:tr>
      <w:tr w:rsidR="005F7B58" w:rsidRPr="005A3773" w:rsidTr="00FE045C">
        <w:trPr>
          <w:trHeight w:val="284"/>
          <w:jc w:val="center"/>
        </w:trPr>
        <w:tc>
          <w:tcPr>
            <w:tcW w:w="2090" w:type="dxa"/>
            <w:tcBorders>
              <w:top w:val="nil"/>
              <w:bottom w:val="nil"/>
            </w:tcBorders>
          </w:tcPr>
          <w:p w:rsidR="005F7B58" w:rsidRPr="005A3773" w:rsidRDefault="005F7B58" w:rsidP="00FE045C">
            <w:pPr>
              <w:spacing w:line="360" w:lineRule="auto"/>
              <w:jc w:val="both"/>
            </w:pPr>
            <w:r w:rsidRPr="005A3773">
              <w:t>Ext. 6%</w:t>
            </w:r>
          </w:p>
        </w:tc>
        <w:tc>
          <w:tcPr>
            <w:tcW w:w="2091" w:type="dxa"/>
            <w:tcBorders>
              <w:top w:val="nil"/>
              <w:bottom w:val="nil"/>
            </w:tcBorders>
          </w:tcPr>
          <w:p w:rsidR="005F7B58" w:rsidRPr="005A3773" w:rsidRDefault="005F7B58" w:rsidP="00FE045C">
            <w:pPr>
              <w:spacing w:line="360" w:lineRule="auto"/>
              <w:jc w:val="center"/>
            </w:pPr>
            <w:r w:rsidRPr="005A3773">
              <w:t>97,67Aa</w:t>
            </w:r>
          </w:p>
        </w:tc>
        <w:tc>
          <w:tcPr>
            <w:tcW w:w="2091" w:type="dxa"/>
            <w:tcBorders>
              <w:top w:val="nil"/>
              <w:bottom w:val="nil"/>
            </w:tcBorders>
          </w:tcPr>
          <w:p w:rsidR="005F7B58" w:rsidRPr="005A3773" w:rsidRDefault="005F7B58" w:rsidP="00FE045C">
            <w:pPr>
              <w:spacing w:line="360" w:lineRule="auto"/>
              <w:jc w:val="center"/>
            </w:pPr>
            <w:r w:rsidRPr="005A3773">
              <w:t>90,77ABa</w:t>
            </w:r>
          </w:p>
        </w:tc>
        <w:tc>
          <w:tcPr>
            <w:tcW w:w="2091" w:type="dxa"/>
            <w:tcBorders>
              <w:top w:val="nil"/>
              <w:bottom w:val="nil"/>
            </w:tcBorders>
          </w:tcPr>
          <w:p w:rsidR="005F7B58" w:rsidRPr="005A3773" w:rsidRDefault="005F7B58" w:rsidP="00FE045C">
            <w:pPr>
              <w:spacing w:line="360" w:lineRule="auto"/>
              <w:jc w:val="center"/>
            </w:pPr>
            <w:r w:rsidRPr="005A3773">
              <w:t>95,60Aa</w:t>
            </w:r>
          </w:p>
        </w:tc>
      </w:tr>
      <w:tr w:rsidR="005F7B58" w:rsidRPr="005A3773" w:rsidTr="00FE045C">
        <w:trPr>
          <w:trHeight w:val="284"/>
          <w:jc w:val="center"/>
        </w:trPr>
        <w:tc>
          <w:tcPr>
            <w:tcW w:w="2090" w:type="dxa"/>
            <w:tcBorders>
              <w:top w:val="nil"/>
              <w:bottom w:val="nil"/>
            </w:tcBorders>
          </w:tcPr>
          <w:p w:rsidR="005F7B58" w:rsidRPr="005A3773" w:rsidRDefault="005F7B58" w:rsidP="00FE045C">
            <w:pPr>
              <w:spacing w:line="360" w:lineRule="auto"/>
              <w:jc w:val="both"/>
            </w:pPr>
            <w:r w:rsidRPr="005A3773">
              <w:t>Ext. 12%</w:t>
            </w:r>
          </w:p>
        </w:tc>
        <w:tc>
          <w:tcPr>
            <w:tcW w:w="2091" w:type="dxa"/>
            <w:tcBorders>
              <w:top w:val="nil"/>
              <w:bottom w:val="nil"/>
            </w:tcBorders>
          </w:tcPr>
          <w:p w:rsidR="005F7B58" w:rsidRPr="005A3773" w:rsidRDefault="005F7B58" w:rsidP="00FE045C">
            <w:pPr>
              <w:spacing w:line="360" w:lineRule="auto"/>
              <w:jc w:val="center"/>
            </w:pPr>
            <w:r w:rsidRPr="005A3773">
              <w:t>98,77Aa</w:t>
            </w:r>
          </w:p>
        </w:tc>
        <w:tc>
          <w:tcPr>
            <w:tcW w:w="2091" w:type="dxa"/>
            <w:tcBorders>
              <w:top w:val="nil"/>
              <w:bottom w:val="nil"/>
            </w:tcBorders>
          </w:tcPr>
          <w:p w:rsidR="005F7B58" w:rsidRPr="005A3773" w:rsidRDefault="005F7B58" w:rsidP="00FE045C">
            <w:pPr>
              <w:spacing w:line="360" w:lineRule="auto"/>
              <w:jc w:val="center"/>
            </w:pPr>
            <w:r w:rsidRPr="005A3773">
              <w:t>87,70ABab</w:t>
            </w:r>
          </w:p>
        </w:tc>
        <w:tc>
          <w:tcPr>
            <w:tcW w:w="2091" w:type="dxa"/>
            <w:tcBorders>
              <w:top w:val="nil"/>
              <w:bottom w:val="nil"/>
            </w:tcBorders>
          </w:tcPr>
          <w:p w:rsidR="005F7B58" w:rsidRPr="005A3773" w:rsidRDefault="005F7B58" w:rsidP="00FE045C">
            <w:pPr>
              <w:spacing w:line="360" w:lineRule="auto"/>
              <w:jc w:val="center"/>
            </w:pPr>
            <w:r w:rsidRPr="005A3773">
              <w:t>74,70Bb</w:t>
            </w:r>
          </w:p>
        </w:tc>
      </w:tr>
      <w:tr w:rsidR="005F7B58" w:rsidRPr="005A3773" w:rsidTr="00FE045C">
        <w:trPr>
          <w:trHeight w:val="284"/>
          <w:jc w:val="center"/>
        </w:trPr>
        <w:tc>
          <w:tcPr>
            <w:tcW w:w="2090" w:type="dxa"/>
            <w:tcBorders>
              <w:top w:val="nil"/>
              <w:bottom w:val="nil"/>
            </w:tcBorders>
          </w:tcPr>
          <w:p w:rsidR="005F7B58" w:rsidRPr="005A3773" w:rsidRDefault="005F7B58" w:rsidP="00FE045C">
            <w:pPr>
              <w:spacing w:line="360" w:lineRule="auto"/>
              <w:jc w:val="both"/>
            </w:pPr>
            <w:r w:rsidRPr="005A3773">
              <w:t>Ext. 25%</w:t>
            </w:r>
          </w:p>
        </w:tc>
        <w:tc>
          <w:tcPr>
            <w:tcW w:w="2091" w:type="dxa"/>
            <w:tcBorders>
              <w:top w:val="nil"/>
              <w:bottom w:val="nil"/>
            </w:tcBorders>
          </w:tcPr>
          <w:p w:rsidR="005F7B58" w:rsidRPr="005A3773" w:rsidRDefault="005F7B58" w:rsidP="00FE045C">
            <w:pPr>
              <w:spacing w:line="360" w:lineRule="auto"/>
              <w:jc w:val="center"/>
            </w:pPr>
            <w:r w:rsidRPr="005A3773">
              <w:t>91,40Aa</w:t>
            </w:r>
          </w:p>
        </w:tc>
        <w:tc>
          <w:tcPr>
            <w:tcW w:w="2091" w:type="dxa"/>
            <w:tcBorders>
              <w:top w:val="nil"/>
              <w:bottom w:val="nil"/>
            </w:tcBorders>
          </w:tcPr>
          <w:p w:rsidR="005F7B58" w:rsidRPr="005A3773" w:rsidRDefault="005F7B58" w:rsidP="00FE045C">
            <w:pPr>
              <w:spacing w:line="360" w:lineRule="auto"/>
              <w:jc w:val="center"/>
            </w:pPr>
            <w:r w:rsidRPr="005A3773">
              <w:t>84,10ABa</w:t>
            </w:r>
          </w:p>
        </w:tc>
        <w:tc>
          <w:tcPr>
            <w:tcW w:w="2091" w:type="dxa"/>
            <w:tcBorders>
              <w:top w:val="nil"/>
              <w:bottom w:val="nil"/>
            </w:tcBorders>
          </w:tcPr>
          <w:p w:rsidR="005F7B58" w:rsidRPr="005A3773" w:rsidRDefault="005F7B58" w:rsidP="00FE045C">
            <w:pPr>
              <w:spacing w:line="360" w:lineRule="auto"/>
              <w:jc w:val="center"/>
            </w:pPr>
            <w:r w:rsidRPr="005A3773">
              <w:t>62,33Bb</w:t>
            </w:r>
          </w:p>
        </w:tc>
      </w:tr>
      <w:tr w:rsidR="005F7B58" w:rsidRPr="005A3773" w:rsidTr="00FE045C">
        <w:trPr>
          <w:trHeight w:val="302"/>
          <w:jc w:val="center"/>
        </w:trPr>
        <w:tc>
          <w:tcPr>
            <w:tcW w:w="2090" w:type="dxa"/>
            <w:tcBorders>
              <w:top w:val="nil"/>
            </w:tcBorders>
          </w:tcPr>
          <w:p w:rsidR="005F7B58" w:rsidRPr="005A3773" w:rsidRDefault="005F7B58" w:rsidP="00FE045C">
            <w:pPr>
              <w:spacing w:line="360" w:lineRule="auto"/>
              <w:jc w:val="both"/>
            </w:pPr>
            <w:r w:rsidRPr="005A3773">
              <w:t>Ext. 50%</w:t>
            </w:r>
          </w:p>
        </w:tc>
        <w:tc>
          <w:tcPr>
            <w:tcW w:w="2091" w:type="dxa"/>
            <w:tcBorders>
              <w:top w:val="nil"/>
            </w:tcBorders>
          </w:tcPr>
          <w:p w:rsidR="005F7B58" w:rsidRPr="005A3773" w:rsidRDefault="005F7B58" w:rsidP="00FE045C">
            <w:pPr>
              <w:spacing w:line="360" w:lineRule="auto"/>
              <w:jc w:val="center"/>
            </w:pPr>
            <w:r w:rsidRPr="005A3773">
              <w:t>85,50Aa</w:t>
            </w:r>
          </w:p>
        </w:tc>
        <w:tc>
          <w:tcPr>
            <w:tcW w:w="2091" w:type="dxa"/>
            <w:tcBorders>
              <w:top w:val="nil"/>
            </w:tcBorders>
          </w:tcPr>
          <w:p w:rsidR="005F7B58" w:rsidRPr="005A3773" w:rsidRDefault="005F7B58" w:rsidP="00FE045C">
            <w:pPr>
              <w:spacing w:line="360" w:lineRule="auto"/>
              <w:jc w:val="center"/>
            </w:pPr>
            <w:r w:rsidRPr="005A3773">
              <w:t>70,70Ba</w:t>
            </w:r>
          </w:p>
        </w:tc>
        <w:tc>
          <w:tcPr>
            <w:tcW w:w="2091" w:type="dxa"/>
            <w:tcBorders>
              <w:top w:val="nil"/>
            </w:tcBorders>
          </w:tcPr>
          <w:p w:rsidR="005F7B58" w:rsidRPr="005A3773" w:rsidRDefault="005F7B58" w:rsidP="00FE045C">
            <w:pPr>
              <w:spacing w:line="360" w:lineRule="auto"/>
              <w:jc w:val="center"/>
            </w:pPr>
            <w:r w:rsidRPr="005A3773">
              <w:t>33,13Cb</w:t>
            </w:r>
          </w:p>
        </w:tc>
      </w:tr>
    </w:tbl>
    <w:p w:rsidR="005F7B58" w:rsidRPr="005A3773" w:rsidRDefault="005F7B58" w:rsidP="005F7B58">
      <w:pPr>
        <w:tabs>
          <w:tab w:val="left" w:pos="0"/>
        </w:tabs>
        <w:jc w:val="both"/>
        <w:rPr>
          <w:sz w:val="20"/>
          <w:szCs w:val="20"/>
        </w:rPr>
      </w:pPr>
      <w:r w:rsidRPr="005A3773">
        <w:rPr>
          <w:sz w:val="20"/>
          <w:szCs w:val="20"/>
        </w:rPr>
        <w:t xml:space="preserve">Letras maiúsculas iguais nas colunas e minúscula nas linhas não se diferem estatisticamente pelo teste de tukey a 5%.  Obs: LVV= larvas viáveis </w:t>
      </w:r>
    </w:p>
    <w:p w:rsidR="00BC171A" w:rsidRPr="005A3773" w:rsidRDefault="00BC171A" w:rsidP="005F7B58">
      <w:pPr>
        <w:jc w:val="both"/>
      </w:pPr>
    </w:p>
    <w:p w:rsidR="004D5A4C" w:rsidRDefault="004D5A4C" w:rsidP="005F7B58">
      <w:pPr>
        <w:jc w:val="both"/>
      </w:pPr>
    </w:p>
    <w:p w:rsidR="00163CF8" w:rsidRDefault="00163CF8" w:rsidP="005F7B58">
      <w:pPr>
        <w:jc w:val="both"/>
      </w:pPr>
    </w:p>
    <w:p w:rsidR="00163CF8" w:rsidRPr="005A3773" w:rsidRDefault="00163CF8" w:rsidP="005F7B58">
      <w:pPr>
        <w:jc w:val="both"/>
      </w:pPr>
    </w:p>
    <w:tbl>
      <w:tblPr>
        <w:tblpPr w:leftFromText="141" w:rightFromText="141" w:vertAnchor="text" w:horzAnchor="margin" w:tblpXSpec="center" w:tblpY="19"/>
        <w:tblW w:w="0" w:type="auto"/>
        <w:tblLook w:val="04A0"/>
      </w:tblPr>
      <w:tblGrid>
        <w:gridCol w:w="8664"/>
      </w:tblGrid>
      <w:tr w:rsidR="004D5A4C" w:rsidRPr="005A3773" w:rsidTr="004D5A4C">
        <w:trPr>
          <w:trHeight w:val="732"/>
        </w:trPr>
        <w:tc>
          <w:tcPr>
            <w:tcW w:w="8664" w:type="dxa"/>
          </w:tcPr>
          <w:p w:rsidR="004D5A4C" w:rsidRPr="005A3773" w:rsidRDefault="004D5A4C" w:rsidP="004D5A4C">
            <w:pPr>
              <w:spacing w:line="360" w:lineRule="auto"/>
              <w:jc w:val="both"/>
            </w:pPr>
            <w:r w:rsidRPr="005A3773">
              <w:rPr>
                <w:bCs/>
              </w:rPr>
              <w:t xml:space="preserve">Figura 2 - Eficácia anti-helmíntica </w:t>
            </w:r>
            <w:r w:rsidRPr="005A3773">
              <w:rPr>
                <w:bCs/>
                <w:i/>
              </w:rPr>
              <w:t>in vitro</w:t>
            </w:r>
            <w:r w:rsidRPr="005A3773">
              <w:rPr>
                <w:bCs/>
              </w:rPr>
              <w:t xml:space="preserve"> do extrato da Batata de purga sobre a viabilidade de larvas de helmintos gastrointestinais em relação ao tempo de exposição.</w:t>
            </w:r>
          </w:p>
        </w:tc>
      </w:tr>
    </w:tbl>
    <w:p w:rsidR="00163CF8" w:rsidRPr="005A3773" w:rsidRDefault="006B3DE7" w:rsidP="004D5A4C">
      <w:pPr>
        <w:jc w:val="both"/>
      </w:pPr>
      <w:r w:rsidRPr="005A3773">
        <w:rPr>
          <w:noProof/>
        </w:rPr>
        <w:drawing>
          <wp:inline distT="0" distB="0" distL="0" distR="0">
            <wp:extent cx="5268665" cy="3168713"/>
            <wp:effectExtent l="19050" t="0" r="27235" b="0"/>
            <wp:docPr id="2"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163CF8" w:rsidRPr="005A3773" w:rsidSect="0089780F">
      <w:headerReference w:type="even" r:id="rId9"/>
      <w:headerReference w:type="default" r:id="rId10"/>
      <w:footerReference w:type="default" r:id="rId11"/>
      <w:pgSz w:w="11906" w:h="16838"/>
      <w:pgMar w:top="1417" w:right="1701" w:bottom="1417"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FDB" w:rsidRDefault="00545FDB">
      <w:r>
        <w:separator/>
      </w:r>
    </w:p>
  </w:endnote>
  <w:endnote w:type="continuationSeparator" w:id="1">
    <w:p w:rsidR="00545FDB" w:rsidRDefault="00545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335" w:rsidRDefault="006169C3">
    <w:pPr>
      <w:pStyle w:val="Rodap"/>
      <w:jc w:val="right"/>
    </w:pPr>
    <w:fldSimple w:instr=" PAGE   \* MERGEFORMAT ">
      <w:r w:rsidR="001A181E">
        <w:rPr>
          <w:noProof/>
        </w:rPr>
        <w:t>1</w:t>
      </w:r>
    </w:fldSimple>
  </w:p>
  <w:p w:rsidR="006F7335" w:rsidRDefault="006F73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FDB" w:rsidRDefault="00545FDB">
      <w:r>
        <w:separator/>
      </w:r>
    </w:p>
  </w:footnote>
  <w:footnote w:type="continuationSeparator" w:id="1">
    <w:p w:rsidR="00545FDB" w:rsidRDefault="00545FDB">
      <w:r>
        <w:continuationSeparator/>
      </w:r>
    </w:p>
  </w:footnote>
  <w:footnote w:id="2">
    <w:p w:rsidR="00E15916" w:rsidRPr="003D6C20" w:rsidRDefault="003D6C20" w:rsidP="00E15916">
      <w:pPr>
        <w:pStyle w:val="Textodenotaderodap"/>
        <w:rPr>
          <w:lang w:val="en-US"/>
        </w:rPr>
      </w:pPr>
      <w:r>
        <w:rPr>
          <w:vertAlign w:val="superscript"/>
          <w:lang w:val="en-US"/>
        </w:rPr>
        <w:t>1</w:t>
      </w:r>
      <w:r>
        <w:rPr>
          <w:lang w:val="en-US"/>
        </w:rPr>
        <w:t xml:space="preserve"> Universidade Estadual Paulista – UNESP</w:t>
      </w:r>
      <w:r w:rsidR="00BB2B69">
        <w:rPr>
          <w:lang w:val="en-US"/>
        </w:rPr>
        <w:t xml:space="preserve">. </w:t>
      </w:r>
      <w:r w:rsidR="00AD223F">
        <w:rPr>
          <w:lang w:val="en-US"/>
        </w:rPr>
        <w:t>Via de acesso Prof. Paulo Donate Castellane s/n, CEP: 14884-900, Jaboticabal – SP. E-mail:</w:t>
      </w:r>
      <w:r w:rsidR="00BB2B69">
        <w:rPr>
          <w:lang w:val="en-US"/>
        </w:rPr>
        <w:t xml:space="preserve"> mauriciomedprev@hotmail.com</w:t>
      </w:r>
    </w:p>
    <w:p w:rsidR="003D6C20" w:rsidRPr="003D6C20" w:rsidRDefault="003D6C20" w:rsidP="00E15916">
      <w:pPr>
        <w:pStyle w:val="Textodenotaderodap"/>
        <w:rPr>
          <w:lang w:val="en-US"/>
        </w:rPr>
      </w:pPr>
      <w:r>
        <w:rPr>
          <w:vertAlign w:val="superscript"/>
          <w:lang w:val="en-US"/>
        </w:rPr>
        <w:t>2</w:t>
      </w:r>
      <w:r>
        <w:rPr>
          <w:lang w:val="en-US"/>
        </w:rPr>
        <w:t xml:space="preserve"> Universidade Federal de Campina Grande </w:t>
      </w:r>
      <w:r w:rsidR="00AD223F">
        <w:rPr>
          <w:lang w:val="en-US"/>
        </w:rPr>
        <w:t>–</w:t>
      </w:r>
      <w:r>
        <w:rPr>
          <w:lang w:val="en-US"/>
        </w:rPr>
        <w:t xml:space="preserve"> UFCG</w:t>
      </w:r>
      <w:r w:rsidR="00AD223F">
        <w:rPr>
          <w:lang w:val="en-US"/>
        </w:rPr>
        <w:t>.</w:t>
      </w:r>
    </w:p>
  </w:footnote>
  <w:footnote w:id="3">
    <w:p w:rsidR="006B3DE7" w:rsidRDefault="006B3DE7"/>
    <w:p w:rsidR="00081E83" w:rsidRPr="00C90C5D" w:rsidRDefault="00081E83" w:rsidP="00081E83">
      <w:pPr>
        <w:pStyle w:val="Textodenotaderodap"/>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3C" w:rsidRDefault="006169C3">
    <w:pPr>
      <w:pStyle w:val="Cabealho"/>
      <w:framePr w:wrap="around" w:vAnchor="text" w:hAnchor="margin" w:xAlign="right" w:y="1"/>
      <w:rPr>
        <w:rStyle w:val="Nmerodepgina"/>
      </w:rPr>
    </w:pPr>
    <w:r>
      <w:rPr>
        <w:rStyle w:val="Nmerodepgina"/>
      </w:rPr>
      <w:fldChar w:fldCharType="begin"/>
    </w:r>
    <w:r w:rsidR="0047623C">
      <w:rPr>
        <w:rStyle w:val="Nmerodepgina"/>
      </w:rPr>
      <w:instrText xml:space="preserve">PAGE  </w:instrText>
    </w:r>
    <w:r>
      <w:rPr>
        <w:rStyle w:val="Nmerodepgina"/>
      </w:rPr>
      <w:fldChar w:fldCharType="end"/>
    </w:r>
  </w:p>
  <w:p w:rsidR="0047623C" w:rsidRDefault="0047623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3C" w:rsidRDefault="0047623C">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7139"/>
    <w:multiLevelType w:val="multilevel"/>
    <w:tmpl w:val="30F0B31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B06737"/>
    <w:multiLevelType w:val="multilevel"/>
    <w:tmpl w:val="F814C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1D43C9"/>
    <w:multiLevelType w:val="multilevel"/>
    <w:tmpl w:val="5B96F13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nsid w:val="26303EE0"/>
    <w:multiLevelType w:val="multilevel"/>
    <w:tmpl w:val="30F0B31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6F07903"/>
    <w:multiLevelType w:val="hybridMultilevel"/>
    <w:tmpl w:val="7FA687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5C6939"/>
    <w:multiLevelType w:val="hybridMultilevel"/>
    <w:tmpl w:val="1E5876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B457639"/>
    <w:multiLevelType w:val="hybridMultilevel"/>
    <w:tmpl w:val="6B343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E25DBD"/>
    <w:multiLevelType w:val="multilevel"/>
    <w:tmpl w:val="FFE6A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96E7C"/>
    <w:multiLevelType w:val="hybridMultilevel"/>
    <w:tmpl w:val="A726F6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F2D27C4"/>
    <w:multiLevelType w:val="multilevel"/>
    <w:tmpl w:val="9CBC7208"/>
    <w:lvl w:ilvl="0">
      <w:start w:val="1"/>
      <w:numFmt w:val="decimal"/>
      <w:lvlText w:val="%1."/>
      <w:lvlJc w:val="left"/>
      <w:pPr>
        <w:ind w:left="360" w:hanging="360"/>
      </w:pPr>
      <w:rPr>
        <w:rFonts w:hint="default"/>
        <w:b w:val="0"/>
        <w:lang w:val="en-US"/>
      </w:rPr>
    </w:lvl>
    <w:lvl w:ilvl="1">
      <w:start w:val="1"/>
      <w:numFmt w:val="decimal"/>
      <w:isLgl/>
      <w:lvlText w:val="%1.%2"/>
      <w:lvlJc w:val="left"/>
      <w:pPr>
        <w:ind w:left="465"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03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640" w:hanging="1800"/>
      </w:pPr>
      <w:rPr>
        <w:rFonts w:hint="default"/>
      </w:rPr>
    </w:lvl>
  </w:abstractNum>
  <w:abstractNum w:abstractNumId="10">
    <w:nsid w:val="659266E5"/>
    <w:multiLevelType w:val="hybridMultilevel"/>
    <w:tmpl w:val="47169452"/>
    <w:lvl w:ilvl="0" w:tplc="0416000F">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9515826"/>
    <w:multiLevelType w:val="multilevel"/>
    <w:tmpl w:val="52642C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1"/>
  </w:num>
  <w:num w:numId="3">
    <w:abstractNumId w:val="7"/>
  </w:num>
  <w:num w:numId="4">
    <w:abstractNumId w:val="9"/>
  </w:num>
  <w:num w:numId="5">
    <w:abstractNumId w:val="0"/>
  </w:num>
  <w:num w:numId="6">
    <w:abstractNumId w:val="5"/>
  </w:num>
  <w:num w:numId="7">
    <w:abstractNumId w:val="8"/>
  </w:num>
  <w:num w:numId="8">
    <w:abstractNumId w:val="6"/>
  </w:num>
  <w:num w:numId="9">
    <w:abstractNumId w:val="4"/>
  </w:num>
  <w:num w:numId="10">
    <w:abstractNumId w:val="2"/>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26F6C"/>
    <w:rsid w:val="00023AA5"/>
    <w:rsid w:val="000534F1"/>
    <w:rsid w:val="00065934"/>
    <w:rsid w:val="00070E60"/>
    <w:rsid w:val="00081E83"/>
    <w:rsid w:val="00084CC4"/>
    <w:rsid w:val="00090003"/>
    <w:rsid w:val="000A0D7E"/>
    <w:rsid w:val="000E291F"/>
    <w:rsid w:val="00102335"/>
    <w:rsid w:val="00106650"/>
    <w:rsid w:val="001177CA"/>
    <w:rsid w:val="00145F43"/>
    <w:rsid w:val="00163CF8"/>
    <w:rsid w:val="00167936"/>
    <w:rsid w:val="00172DD4"/>
    <w:rsid w:val="001A181E"/>
    <w:rsid w:val="001C1424"/>
    <w:rsid w:val="00207B6D"/>
    <w:rsid w:val="0022197C"/>
    <w:rsid w:val="002235F6"/>
    <w:rsid w:val="002441AE"/>
    <w:rsid w:val="00264875"/>
    <w:rsid w:val="0027491A"/>
    <w:rsid w:val="00292DA9"/>
    <w:rsid w:val="00296631"/>
    <w:rsid w:val="002C1079"/>
    <w:rsid w:val="002C2101"/>
    <w:rsid w:val="002D4D22"/>
    <w:rsid w:val="002E76A1"/>
    <w:rsid w:val="002F4CA5"/>
    <w:rsid w:val="002F6034"/>
    <w:rsid w:val="00302CE6"/>
    <w:rsid w:val="00321F58"/>
    <w:rsid w:val="00325503"/>
    <w:rsid w:val="00353887"/>
    <w:rsid w:val="0035618C"/>
    <w:rsid w:val="0037569E"/>
    <w:rsid w:val="003A4444"/>
    <w:rsid w:val="003B420C"/>
    <w:rsid w:val="003D6C20"/>
    <w:rsid w:val="003E0179"/>
    <w:rsid w:val="003E488C"/>
    <w:rsid w:val="003E6363"/>
    <w:rsid w:val="003F241E"/>
    <w:rsid w:val="00413952"/>
    <w:rsid w:val="00456D01"/>
    <w:rsid w:val="0047233D"/>
    <w:rsid w:val="0047623C"/>
    <w:rsid w:val="0049475A"/>
    <w:rsid w:val="004D5A4C"/>
    <w:rsid w:val="004D7B90"/>
    <w:rsid w:val="00532EE4"/>
    <w:rsid w:val="00545FDB"/>
    <w:rsid w:val="00554AC3"/>
    <w:rsid w:val="00556773"/>
    <w:rsid w:val="005615E7"/>
    <w:rsid w:val="00577A90"/>
    <w:rsid w:val="00586EFA"/>
    <w:rsid w:val="00594BCA"/>
    <w:rsid w:val="0059736E"/>
    <w:rsid w:val="005A332F"/>
    <w:rsid w:val="005A3773"/>
    <w:rsid w:val="005A3D0C"/>
    <w:rsid w:val="005D09F9"/>
    <w:rsid w:val="005F3664"/>
    <w:rsid w:val="005F7B58"/>
    <w:rsid w:val="006160F3"/>
    <w:rsid w:val="006169C3"/>
    <w:rsid w:val="00637455"/>
    <w:rsid w:val="00661751"/>
    <w:rsid w:val="00671940"/>
    <w:rsid w:val="006B01F4"/>
    <w:rsid w:val="006B3DE7"/>
    <w:rsid w:val="006C1271"/>
    <w:rsid w:val="006C4667"/>
    <w:rsid w:val="006F7335"/>
    <w:rsid w:val="00704E30"/>
    <w:rsid w:val="0072335A"/>
    <w:rsid w:val="007848A8"/>
    <w:rsid w:val="007A0DE0"/>
    <w:rsid w:val="007A668D"/>
    <w:rsid w:val="007B0347"/>
    <w:rsid w:val="007B43C1"/>
    <w:rsid w:val="007C3DFF"/>
    <w:rsid w:val="00826792"/>
    <w:rsid w:val="00840055"/>
    <w:rsid w:val="00863545"/>
    <w:rsid w:val="008745BF"/>
    <w:rsid w:val="00887209"/>
    <w:rsid w:val="0089780F"/>
    <w:rsid w:val="008B0AFC"/>
    <w:rsid w:val="008C487F"/>
    <w:rsid w:val="008D4116"/>
    <w:rsid w:val="008F7302"/>
    <w:rsid w:val="00911179"/>
    <w:rsid w:val="00921DA8"/>
    <w:rsid w:val="00926F6C"/>
    <w:rsid w:val="00942AF1"/>
    <w:rsid w:val="00961E6E"/>
    <w:rsid w:val="009833B0"/>
    <w:rsid w:val="009E61CC"/>
    <w:rsid w:val="009F35D3"/>
    <w:rsid w:val="00A04863"/>
    <w:rsid w:val="00A600E0"/>
    <w:rsid w:val="00A72621"/>
    <w:rsid w:val="00AA23C3"/>
    <w:rsid w:val="00AA571B"/>
    <w:rsid w:val="00AA6CFB"/>
    <w:rsid w:val="00AB07E3"/>
    <w:rsid w:val="00AD223F"/>
    <w:rsid w:val="00AE410C"/>
    <w:rsid w:val="00B009A8"/>
    <w:rsid w:val="00B176F1"/>
    <w:rsid w:val="00B17A27"/>
    <w:rsid w:val="00B245A1"/>
    <w:rsid w:val="00B454D3"/>
    <w:rsid w:val="00B514C4"/>
    <w:rsid w:val="00B65B87"/>
    <w:rsid w:val="00B67229"/>
    <w:rsid w:val="00B74AD6"/>
    <w:rsid w:val="00B75B29"/>
    <w:rsid w:val="00B811C6"/>
    <w:rsid w:val="00B858E1"/>
    <w:rsid w:val="00B9719B"/>
    <w:rsid w:val="00B97CA8"/>
    <w:rsid w:val="00BB05A2"/>
    <w:rsid w:val="00BB2B69"/>
    <w:rsid w:val="00BC171A"/>
    <w:rsid w:val="00BC25C2"/>
    <w:rsid w:val="00BC3E9C"/>
    <w:rsid w:val="00BC69C3"/>
    <w:rsid w:val="00BE2639"/>
    <w:rsid w:val="00BE5843"/>
    <w:rsid w:val="00BF0DB8"/>
    <w:rsid w:val="00BF573A"/>
    <w:rsid w:val="00C16FF7"/>
    <w:rsid w:val="00C248C2"/>
    <w:rsid w:val="00C51356"/>
    <w:rsid w:val="00C53B29"/>
    <w:rsid w:val="00C61130"/>
    <w:rsid w:val="00C712D1"/>
    <w:rsid w:val="00CA15E9"/>
    <w:rsid w:val="00CB30ED"/>
    <w:rsid w:val="00D079C9"/>
    <w:rsid w:val="00D17056"/>
    <w:rsid w:val="00D245AD"/>
    <w:rsid w:val="00D80DCA"/>
    <w:rsid w:val="00D904E4"/>
    <w:rsid w:val="00DB1EFF"/>
    <w:rsid w:val="00DC1A04"/>
    <w:rsid w:val="00DC63DE"/>
    <w:rsid w:val="00E15916"/>
    <w:rsid w:val="00E54A98"/>
    <w:rsid w:val="00E552FC"/>
    <w:rsid w:val="00E71C00"/>
    <w:rsid w:val="00E933EE"/>
    <w:rsid w:val="00EB2D62"/>
    <w:rsid w:val="00F062C8"/>
    <w:rsid w:val="00F624C8"/>
    <w:rsid w:val="00F76EB1"/>
    <w:rsid w:val="00F8551C"/>
    <w:rsid w:val="00FC6ACC"/>
    <w:rsid w:val="00FD412C"/>
    <w:rsid w:val="00FE0363"/>
    <w:rsid w:val="00FE045C"/>
    <w:rsid w:val="00FE5D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6C"/>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926F6C"/>
    <w:pPr>
      <w:spacing w:after="60"/>
      <w:jc w:val="center"/>
      <w:outlineLvl w:val="1"/>
    </w:pPr>
    <w:rPr>
      <w:rFonts w:ascii="Cambria" w:hAnsi="Cambria"/>
    </w:rPr>
  </w:style>
  <w:style w:type="character" w:customStyle="1" w:styleId="SubttuloChar">
    <w:name w:val="Subtítulo Char"/>
    <w:basedOn w:val="Fontepargpadro"/>
    <w:link w:val="Subttulo"/>
    <w:rsid w:val="00926F6C"/>
    <w:rPr>
      <w:rFonts w:ascii="Cambria" w:eastAsia="Times New Roman" w:hAnsi="Cambria" w:cs="Times New Roman"/>
      <w:sz w:val="24"/>
      <w:szCs w:val="24"/>
      <w:lang w:eastAsia="pt-BR"/>
    </w:rPr>
  </w:style>
  <w:style w:type="character" w:customStyle="1" w:styleId="MapadoDocumentoChar">
    <w:name w:val="Mapa do Documento Char"/>
    <w:basedOn w:val="Fontepargpadro"/>
    <w:link w:val="MapadoDocumento"/>
    <w:semiHidden/>
    <w:rsid w:val="00926F6C"/>
    <w:rPr>
      <w:rFonts w:ascii="Tahoma" w:eastAsia="Times New Roman" w:hAnsi="Tahoma" w:cs="Tahoma"/>
      <w:sz w:val="20"/>
      <w:szCs w:val="20"/>
      <w:shd w:val="clear" w:color="auto" w:fill="000080"/>
      <w:lang w:eastAsia="pt-BR"/>
    </w:rPr>
  </w:style>
  <w:style w:type="paragraph" w:styleId="MapadoDocumento">
    <w:name w:val="Document Map"/>
    <w:basedOn w:val="Normal"/>
    <w:link w:val="MapadoDocumentoChar"/>
    <w:semiHidden/>
    <w:rsid w:val="00926F6C"/>
    <w:pPr>
      <w:shd w:val="clear" w:color="auto" w:fill="000080"/>
    </w:pPr>
    <w:rPr>
      <w:rFonts w:ascii="Tahoma" w:hAnsi="Tahoma" w:cs="Tahoma"/>
      <w:sz w:val="20"/>
      <w:szCs w:val="20"/>
    </w:rPr>
  </w:style>
  <w:style w:type="paragraph" w:styleId="Recuodecorpodetexto2">
    <w:name w:val="Body Text Indent 2"/>
    <w:basedOn w:val="Normal"/>
    <w:link w:val="Recuodecorpodetexto2Char"/>
    <w:rsid w:val="00926F6C"/>
    <w:pPr>
      <w:spacing w:line="480" w:lineRule="auto"/>
      <w:ind w:left="360" w:firstLine="348"/>
      <w:jc w:val="both"/>
    </w:pPr>
  </w:style>
  <w:style w:type="character" w:customStyle="1" w:styleId="Recuodecorpodetexto2Char">
    <w:name w:val="Recuo de corpo de texto 2 Char"/>
    <w:basedOn w:val="Fontepargpadro"/>
    <w:link w:val="Recuodecorpodetexto2"/>
    <w:rsid w:val="00926F6C"/>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926F6C"/>
    <w:pPr>
      <w:tabs>
        <w:tab w:val="center" w:pos="4419"/>
        <w:tab w:val="right" w:pos="8838"/>
      </w:tabs>
    </w:pPr>
  </w:style>
  <w:style w:type="character" w:customStyle="1" w:styleId="CabealhoChar">
    <w:name w:val="Cabeçalho Char"/>
    <w:basedOn w:val="Fontepargpadro"/>
    <w:link w:val="Cabealho"/>
    <w:uiPriority w:val="99"/>
    <w:rsid w:val="00926F6C"/>
    <w:rPr>
      <w:rFonts w:ascii="Times New Roman" w:eastAsia="Times New Roman" w:hAnsi="Times New Roman" w:cs="Times New Roman"/>
      <w:sz w:val="24"/>
      <w:szCs w:val="24"/>
      <w:lang w:eastAsia="pt-BR"/>
    </w:rPr>
  </w:style>
  <w:style w:type="character" w:styleId="Nmerodepgina">
    <w:name w:val="page number"/>
    <w:basedOn w:val="Fontepargpadro"/>
    <w:rsid w:val="00926F6C"/>
  </w:style>
  <w:style w:type="paragraph" w:styleId="Rodap">
    <w:name w:val="footer"/>
    <w:basedOn w:val="Normal"/>
    <w:link w:val="RodapChar"/>
    <w:uiPriority w:val="99"/>
    <w:unhideWhenUsed/>
    <w:rsid w:val="00926F6C"/>
    <w:pPr>
      <w:tabs>
        <w:tab w:val="center" w:pos="4252"/>
        <w:tab w:val="right" w:pos="8504"/>
      </w:tabs>
    </w:pPr>
  </w:style>
  <w:style w:type="character" w:customStyle="1" w:styleId="RodapChar">
    <w:name w:val="Rodapé Char"/>
    <w:basedOn w:val="Fontepargpadro"/>
    <w:link w:val="Rodap"/>
    <w:uiPriority w:val="99"/>
    <w:rsid w:val="00926F6C"/>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unhideWhenUsed/>
    <w:rsid w:val="00926F6C"/>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rsid w:val="00926F6C"/>
    <w:rPr>
      <w:rFonts w:ascii="Calibri" w:eastAsia="Calibri" w:hAnsi="Calibri" w:cs="Times New Roman"/>
      <w:sz w:val="16"/>
      <w:szCs w:val="16"/>
    </w:rPr>
  </w:style>
  <w:style w:type="paragraph" w:styleId="PargrafodaLista">
    <w:name w:val="List Paragraph"/>
    <w:basedOn w:val="Normal"/>
    <w:uiPriority w:val="34"/>
    <w:qFormat/>
    <w:rsid w:val="00926F6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unhideWhenUsed/>
    <w:rsid w:val="00926F6C"/>
    <w:rPr>
      <w:color w:val="0000FF"/>
      <w:u w:val="single"/>
    </w:rPr>
  </w:style>
  <w:style w:type="paragraph" w:styleId="Textodebalo">
    <w:name w:val="Balloon Text"/>
    <w:basedOn w:val="Normal"/>
    <w:link w:val="TextodebaloChar"/>
    <w:uiPriority w:val="99"/>
    <w:semiHidden/>
    <w:unhideWhenUsed/>
    <w:rsid w:val="00926F6C"/>
    <w:rPr>
      <w:rFonts w:ascii="Tahoma" w:hAnsi="Tahoma" w:cs="Tahoma"/>
      <w:sz w:val="16"/>
      <w:szCs w:val="16"/>
    </w:rPr>
  </w:style>
  <w:style w:type="character" w:customStyle="1" w:styleId="TextodebaloChar">
    <w:name w:val="Texto de balão Char"/>
    <w:basedOn w:val="Fontepargpadro"/>
    <w:link w:val="Textodebalo"/>
    <w:uiPriority w:val="99"/>
    <w:semiHidden/>
    <w:rsid w:val="00926F6C"/>
    <w:rPr>
      <w:rFonts w:ascii="Tahoma" w:eastAsia="Times New Roman" w:hAnsi="Tahoma" w:cs="Tahoma"/>
      <w:sz w:val="16"/>
      <w:szCs w:val="16"/>
      <w:lang w:eastAsia="pt-BR"/>
    </w:rPr>
  </w:style>
  <w:style w:type="paragraph" w:styleId="Textodenotaderodap">
    <w:name w:val="footnote text"/>
    <w:basedOn w:val="Normal"/>
    <w:link w:val="TextodenotaderodapChar"/>
    <w:semiHidden/>
    <w:rsid w:val="00826792"/>
    <w:rPr>
      <w:sz w:val="20"/>
      <w:szCs w:val="20"/>
    </w:rPr>
  </w:style>
  <w:style w:type="character" w:customStyle="1" w:styleId="TextodenotaderodapChar">
    <w:name w:val="Texto de nota de rodapé Char"/>
    <w:basedOn w:val="Fontepargpadro"/>
    <w:link w:val="Textodenotaderodap"/>
    <w:semiHidden/>
    <w:rsid w:val="00826792"/>
    <w:rPr>
      <w:rFonts w:ascii="Times New Roman" w:eastAsia="Times New Roman" w:hAnsi="Times New Roman"/>
    </w:rPr>
  </w:style>
  <w:style w:type="character" w:styleId="Refdenotaderodap">
    <w:name w:val="footnote reference"/>
    <w:basedOn w:val="Fontepargpadro"/>
    <w:semiHidden/>
    <w:rsid w:val="00826792"/>
    <w:rPr>
      <w:vertAlign w:val="superscript"/>
    </w:rPr>
  </w:style>
  <w:style w:type="paragraph" w:styleId="Corpodetexto">
    <w:name w:val="Body Text"/>
    <w:basedOn w:val="Normal"/>
    <w:link w:val="CorpodetextoChar"/>
    <w:uiPriority w:val="99"/>
    <w:unhideWhenUsed/>
    <w:rsid w:val="00167936"/>
    <w:pPr>
      <w:spacing w:after="120"/>
    </w:pPr>
  </w:style>
  <w:style w:type="character" w:customStyle="1" w:styleId="CorpodetextoChar">
    <w:name w:val="Corpo de texto Char"/>
    <w:basedOn w:val="Fontepargpadro"/>
    <w:link w:val="Corpodetexto"/>
    <w:uiPriority w:val="99"/>
    <w:rsid w:val="00167936"/>
    <w:rPr>
      <w:rFonts w:ascii="Times New Roman" w:eastAsia="Times New Roman" w:hAnsi="Times New Roman"/>
      <w:sz w:val="24"/>
      <w:szCs w:val="24"/>
    </w:rPr>
  </w:style>
  <w:style w:type="character" w:styleId="nfase">
    <w:name w:val="Emphasis"/>
    <w:basedOn w:val="Fontepargpadro"/>
    <w:uiPriority w:val="20"/>
    <w:qFormat/>
    <w:rsid w:val="00FC6ACC"/>
    <w:rPr>
      <w:b/>
      <w:bCs/>
      <w:i w:val="0"/>
      <w:iCs w:val="0"/>
    </w:rPr>
  </w:style>
  <w:style w:type="character" w:styleId="Nmerodelinha">
    <w:name w:val="line number"/>
    <w:basedOn w:val="Fontepargpadro"/>
    <w:uiPriority w:val="99"/>
    <w:semiHidden/>
    <w:unhideWhenUsed/>
    <w:rsid w:val="0089780F"/>
  </w:style>
</w:styles>
</file>

<file path=word/webSettings.xml><?xml version="1.0" encoding="utf-8"?>
<w:webSettings xmlns:r="http://schemas.openxmlformats.org/officeDocument/2006/relationships" xmlns:w="http://schemas.openxmlformats.org/wordprocessingml/2006/main">
  <w:divs>
    <w:div w:id="162094192">
      <w:bodyDiv w:val="1"/>
      <w:marLeft w:val="0"/>
      <w:marRight w:val="0"/>
      <w:marTop w:val="0"/>
      <w:marBottom w:val="0"/>
      <w:divBdr>
        <w:top w:val="none" w:sz="0" w:space="0" w:color="auto"/>
        <w:left w:val="none" w:sz="0" w:space="0" w:color="auto"/>
        <w:bottom w:val="none" w:sz="0" w:space="0" w:color="auto"/>
        <w:right w:val="none" w:sz="0" w:space="0" w:color="auto"/>
      </w:divBdr>
    </w:div>
    <w:div w:id="990984595">
      <w:bodyDiv w:val="1"/>
      <w:marLeft w:val="0"/>
      <w:marRight w:val="0"/>
      <w:marTop w:val="0"/>
      <w:marBottom w:val="0"/>
      <w:divBdr>
        <w:top w:val="none" w:sz="0" w:space="0" w:color="auto"/>
        <w:left w:val="none" w:sz="0" w:space="0" w:color="auto"/>
        <w:bottom w:val="none" w:sz="0" w:space="0" w:color="auto"/>
        <w:right w:val="none" w:sz="0" w:space="0" w:color="auto"/>
      </w:divBdr>
    </w:div>
    <w:div w:id="1304116797">
      <w:bodyDiv w:val="1"/>
      <w:marLeft w:val="0"/>
      <w:marRight w:val="0"/>
      <w:marTop w:val="0"/>
      <w:marBottom w:val="0"/>
      <w:divBdr>
        <w:top w:val="none" w:sz="0" w:space="0" w:color="auto"/>
        <w:left w:val="none" w:sz="0" w:space="0" w:color="auto"/>
        <w:bottom w:val="none" w:sz="0" w:space="0" w:color="auto"/>
        <w:right w:val="none" w:sz="0" w:space="0" w:color="auto"/>
      </w:divBdr>
    </w:div>
    <w:div w:id="1440836076">
      <w:bodyDiv w:val="1"/>
      <w:marLeft w:val="0"/>
      <w:marRight w:val="0"/>
      <w:marTop w:val="0"/>
      <w:marBottom w:val="0"/>
      <w:divBdr>
        <w:top w:val="none" w:sz="0" w:space="0" w:color="auto"/>
        <w:left w:val="none" w:sz="0" w:space="0" w:color="auto"/>
        <w:bottom w:val="none" w:sz="0" w:space="0" w:color="auto"/>
        <w:right w:val="none" w:sz="0" w:space="0" w:color="auto"/>
      </w:divBdr>
    </w:div>
    <w:div w:id="1568036109">
      <w:bodyDiv w:val="1"/>
      <w:marLeft w:val="0"/>
      <w:marRight w:val="0"/>
      <w:marTop w:val="0"/>
      <w:marBottom w:val="0"/>
      <w:divBdr>
        <w:top w:val="none" w:sz="0" w:space="0" w:color="auto"/>
        <w:left w:val="none" w:sz="0" w:space="0" w:color="auto"/>
        <w:bottom w:val="none" w:sz="0" w:space="0" w:color="auto"/>
        <w:right w:val="none" w:sz="0" w:space="0" w:color="auto"/>
      </w:divBdr>
    </w:div>
    <w:div w:id="19719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dor\Meus%20documentos\werlaneide\gr&#225;fico%20da%20batat%20de%20purg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dor\Meus%20documentos\werlaneide\gr&#225;fico%20da%20batat%20de%20purg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
  <c:chart>
    <c:autoTitleDeleted val="1"/>
    <c:plotArea>
      <c:layout/>
      <c:lineChart>
        <c:grouping val="standard"/>
        <c:ser>
          <c:idx val="0"/>
          <c:order val="0"/>
          <c:tx>
            <c:strRef>
              <c:f>Plan1!$B$20</c:f>
              <c:strCache>
                <c:ptCount val="1"/>
                <c:pt idx="0">
                  <c:v>24</c:v>
                </c:pt>
              </c:strCache>
            </c:strRef>
          </c:tx>
          <c:marker>
            <c:symbol val="none"/>
          </c:marker>
          <c:cat>
            <c:strRef>
              <c:f>Plan1!$A$21:$A$27</c:f>
              <c:strCache>
                <c:ptCount val="7"/>
                <c:pt idx="0">
                  <c:v>Test</c:v>
                </c:pt>
                <c:pt idx="1">
                  <c:v>Quím</c:v>
                </c:pt>
                <c:pt idx="2">
                  <c:v>3%</c:v>
                </c:pt>
                <c:pt idx="3">
                  <c:v>6%</c:v>
                </c:pt>
                <c:pt idx="4">
                  <c:v>12%</c:v>
                </c:pt>
                <c:pt idx="5">
                  <c:v>25%</c:v>
                </c:pt>
                <c:pt idx="6">
                  <c:v>50%</c:v>
                </c:pt>
              </c:strCache>
            </c:strRef>
          </c:cat>
          <c:val>
            <c:numRef>
              <c:f>Plan1!$B$21:$B$27</c:f>
              <c:numCache>
                <c:formatCode>General</c:formatCode>
                <c:ptCount val="7"/>
                <c:pt idx="0">
                  <c:v>95.669999999999987</c:v>
                </c:pt>
                <c:pt idx="1">
                  <c:v>93.63</c:v>
                </c:pt>
                <c:pt idx="2">
                  <c:v>88.33</c:v>
                </c:pt>
                <c:pt idx="3">
                  <c:v>77.83</c:v>
                </c:pt>
                <c:pt idx="4">
                  <c:v>67.569999999999993</c:v>
                </c:pt>
                <c:pt idx="5">
                  <c:v>21.53</c:v>
                </c:pt>
                <c:pt idx="6">
                  <c:v>20.93</c:v>
                </c:pt>
              </c:numCache>
            </c:numRef>
          </c:val>
        </c:ser>
        <c:ser>
          <c:idx val="1"/>
          <c:order val="1"/>
          <c:tx>
            <c:strRef>
              <c:f>Plan1!$C$20</c:f>
              <c:strCache>
                <c:ptCount val="1"/>
                <c:pt idx="0">
                  <c:v>48</c:v>
                </c:pt>
              </c:strCache>
            </c:strRef>
          </c:tx>
          <c:marker>
            <c:symbol val="none"/>
          </c:marker>
          <c:cat>
            <c:strRef>
              <c:f>Plan1!$A$21:$A$27</c:f>
              <c:strCache>
                <c:ptCount val="7"/>
                <c:pt idx="0">
                  <c:v>Test</c:v>
                </c:pt>
                <c:pt idx="1">
                  <c:v>Quím</c:v>
                </c:pt>
                <c:pt idx="2">
                  <c:v>3%</c:v>
                </c:pt>
                <c:pt idx="3">
                  <c:v>6%</c:v>
                </c:pt>
                <c:pt idx="4">
                  <c:v>12%</c:v>
                </c:pt>
                <c:pt idx="5">
                  <c:v>25%</c:v>
                </c:pt>
                <c:pt idx="6">
                  <c:v>50%</c:v>
                </c:pt>
              </c:strCache>
            </c:strRef>
          </c:cat>
          <c:val>
            <c:numRef>
              <c:f>Plan1!$C$21:$C$27</c:f>
              <c:numCache>
                <c:formatCode>General</c:formatCode>
                <c:ptCount val="7"/>
                <c:pt idx="0">
                  <c:v>96.33</c:v>
                </c:pt>
                <c:pt idx="1">
                  <c:v>75.73</c:v>
                </c:pt>
                <c:pt idx="2">
                  <c:v>38.33</c:v>
                </c:pt>
                <c:pt idx="3">
                  <c:v>57.13</c:v>
                </c:pt>
                <c:pt idx="4">
                  <c:v>52.5</c:v>
                </c:pt>
                <c:pt idx="5">
                  <c:v>44.57</c:v>
                </c:pt>
                <c:pt idx="6">
                  <c:v>38</c:v>
                </c:pt>
              </c:numCache>
            </c:numRef>
          </c:val>
        </c:ser>
        <c:ser>
          <c:idx val="2"/>
          <c:order val="2"/>
          <c:tx>
            <c:strRef>
              <c:f>Plan1!$D$20</c:f>
              <c:strCache>
                <c:ptCount val="1"/>
                <c:pt idx="0">
                  <c:v>72</c:v>
                </c:pt>
              </c:strCache>
            </c:strRef>
          </c:tx>
          <c:marker>
            <c:symbol val="none"/>
          </c:marker>
          <c:cat>
            <c:strRef>
              <c:f>Plan1!$A$21:$A$27</c:f>
              <c:strCache>
                <c:ptCount val="7"/>
                <c:pt idx="0">
                  <c:v>Test</c:v>
                </c:pt>
                <c:pt idx="1">
                  <c:v>Quím</c:v>
                </c:pt>
                <c:pt idx="2">
                  <c:v>3%</c:v>
                </c:pt>
                <c:pt idx="3">
                  <c:v>6%</c:v>
                </c:pt>
                <c:pt idx="4">
                  <c:v>12%</c:v>
                </c:pt>
                <c:pt idx="5">
                  <c:v>25%</c:v>
                </c:pt>
                <c:pt idx="6">
                  <c:v>50%</c:v>
                </c:pt>
              </c:strCache>
            </c:strRef>
          </c:cat>
          <c:val>
            <c:numRef>
              <c:f>Plan1!$D$21:$D$27</c:f>
              <c:numCache>
                <c:formatCode>General</c:formatCode>
                <c:ptCount val="7"/>
                <c:pt idx="0">
                  <c:v>92.33</c:v>
                </c:pt>
                <c:pt idx="1">
                  <c:v>52.83</c:v>
                </c:pt>
                <c:pt idx="2">
                  <c:v>52.53</c:v>
                </c:pt>
                <c:pt idx="3">
                  <c:v>68.069999999999993</c:v>
                </c:pt>
                <c:pt idx="4">
                  <c:v>59.6</c:v>
                </c:pt>
                <c:pt idx="5">
                  <c:v>53.07</c:v>
                </c:pt>
                <c:pt idx="6">
                  <c:v>29.77</c:v>
                </c:pt>
              </c:numCache>
            </c:numRef>
          </c:val>
        </c:ser>
        <c:marker val="1"/>
        <c:axId val="65473536"/>
        <c:axId val="65479808"/>
      </c:lineChart>
      <c:catAx>
        <c:axId val="65473536"/>
        <c:scaling>
          <c:orientation val="minMax"/>
        </c:scaling>
        <c:axPos val="b"/>
        <c:title>
          <c:tx>
            <c:rich>
              <a:bodyPr/>
              <a:lstStyle/>
              <a:p>
                <a:pPr>
                  <a:defRPr/>
                </a:pPr>
                <a:r>
                  <a:rPr lang="pt-BR"/>
                  <a:t>Tratamentos</a:t>
                </a:r>
              </a:p>
            </c:rich>
          </c:tx>
        </c:title>
        <c:numFmt formatCode="General" sourceLinked="1"/>
        <c:majorTickMark val="none"/>
        <c:tickLblPos val="nextTo"/>
        <c:crossAx val="65479808"/>
        <c:crosses val="autoZero"/>
        <c:auto val="1"/>
        <c:lblAlgn val="ctr"/>
        <c:lblOffset val="100"/>
      </c:catAx>
      <c:valAx>
        <c:axId val="65479808"/>
        <c:scaling>
          <c:orientation val="minMax"/>
        </c:scaling>
        <c:axPos val="l"/>
        <c:title>
          <c:tx>
            <c:rich>
              <a:bodyPr/>
              <a:lstStyle/>
              <a:p>
                <a:pPr>
                  <a:defRPr/>
                </a:pPr>
                <a:r>
                  <a:rPr lang="pt-BR"/>
                  <a:t>% de ovos viáveis</a:t>
                </a:r>
              </a:p>
            </c:rich>
          </c:tx>
        </c:title>
        <c:numFmt formatCode="General" sourceLinked="1"/>
        <c:tickLblPos val="nextTo"/>
        <c:crossAx val="654735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3"/>
  <c:chart>
    <c:autoTitleDeleted val="1"/>
    <c:plotArea>
      <c:layout>
        <c:manualLayout>
          <c:layoutTarget val="inner"/>
          <c:xMode val="edge"/>
          <c:yMode val="edge"/>
          <c:x val="0.13663742140692295"/>
          <c:y val="6.2797057042077928E-2"/>
          <c:w val="0.72564264607921891"/>
          <c:h val="0.68445460861509988"/>
        </c:manualLayout>
      </c:layout>
      <c:lineChart>
        <c:grouping val="standard"/>
        <c:ser>
          <c:idx val="0"/>
          <c:order val="0"/>
          <c:tx>
            <c:strRef>
              <c:f>Plan1!$B$45</c:f>
              <c:strCache>
                <c:ptCount val="1"/>
                <c:pt idx="0">
                  <c:v>24</c:v>
                </c:pt>
              </c:strCache>
            </c:strRef>
          </c:tx>
          <c:marker>
            <c:symbol val="none"/>
          </c:marker>
          <c:cat>
            <c:strRef>
              <c:f>Plan1!$A$46:$A$52</c:f>
              <c:strCache>
                <c:ptCount val="7"/>
                <c:pt idx="0">
                  <c:v>Test</c:v>
                </c:pt>
                <c:pt idx="1">
                  <c:v>Quím</c:v>
                </c:pt>
                <c:pt idx="2">
                  <c:v>3%</c:v>
                </c:pt>
                <c:pt idx="3">
                  <c:v>6%</c:v>
                </c:pt>
                <c:pt idx="4">
                  <c:v>12%</c:v>
                </c:pt>
                <c:pt idx="5">
                  <c:v>25%</c:v>
                </c:pt>
                <c:pt idx="6">
                  <c:v>50%</c:v>
                </c:pt>
              </c:strCache>
            </c:strRef>
          </c:cat>
          <c:val>
            <c:numRef>
              <c:f>Plan1!$B$46:$B$52</c:f>
              <c:numCache>
                <c:formatCode>General</c:formatCode>
                <c:ptCount val="7"/>
                <c:pt idx="0">
                  <c:v>100</c:v>
                </c:pt>
                <c:pt idx="1">
                  <c:v>100</c:v>
                </c:pt>
                <c:pt idx="2">
                  <c:v>100</c:v>
                </c:pt>
                <c:pt idx="3">
                  <c:v>97.669999999999987</c:v>
                </c:pt>
                <c:pt idx="4">
                  <c:v>98.77</c:v>
                </c:pt>
                <c:pt idx="5">
                  <c:v>91.4</c:v>
                </c:pt>
                <c:pt idx="6">
                  <c:v>85.5</c:v>
                </c:pt>
              </c:numCache>
            </c:numRef>
          </c:val>
        </c:ser>
        <c:ser>
          <c:idx val="1"/>
          <c:order val="1"/>
          <c:tx>
            <c:strRef>
              <c:f>Plan1!$C$45</c:f>
              <c:strCache>
                <c:ptCount val="1"/>
                <c:pt idx="0">
                  <c:v>48</c:v>
                </c:pt>
              </c:strCache>
            </c:strRef>
          </c:tx>
          <c:marker>
            <c:symbol val="none"/>
          </c:marker>
          <c:cat>
            <c:strRef>
              <c:f>Plan1!$A$46:$A$52</c:f>
              <c:strCache>
                <c:ptCount val="7"/>
                <c:pt idx="0">
                  <c:v>Test</c:v>
                </c:pt>
                <c:pt idx="1">
                  <c:v>Quím</c:v>
                </c:pt>
                <c:pt idx="2">
                  <c:v>3%</c:v>
                </c:pt>
                <c:pt idx="3">
                  <c:v>6%</c:v>
                </c:pt>
                <c:pt idx="4">
                  <c:v>12%</c:v>
                </c:pt>
                <c:pt idx="5">
                  <c:v>25%</c:v>
                </c:pt>
                <c:pt idx="6">
                  <c:v>50%</c:v>
                </c:pt>
              </c:strCache>
            </c:strRef>
          </c:cat>
          <c:val>
            <c:numRef>
              <c:f>Plan1!$C$46:$C$52</c:f>
              <c:numCache>
                <c:formatCode>General</c:formatCode>
                <c:ptCount val="7"/>
                <c:pt idx="0">
                  <c:v>100</c:v>
                </c:pt>
                <c:pt idx="1">
                  <c:v>98.43</c:v>
                </c:pt>
                <c:pt idx="2">
                  <c:v>93</c:v>
                </c:pt>
                <c:pt idx="3">
                  <c:v>90.77</c:v>
                </c:pt>
                <c:pt idx="4">
                  <c:v>87.7</c:v>
                </c:pt>
                <c:pt idx="5">
                  <c:v>84.1</c:v>
                </c:pt>
                <c:pt idx="6">
                  <c:v>70.7</c:v>
                </c:pt>
              </c:numCache>
            </c:numRef>
          </c:val>
        </c:ser>
        <c:ser>
          <c:idx val="2"/>
          <c:order val="2"/>
          <c:tx>
            <c:strRef>
              <c:f>Plan1!$D$45</c:f>
              <c:strCache>
                <c:ptCount val="1"/>
                <c:pt idx="0">
                  <c:v>72</c:v>
                </c:pt>
              </c:strCache>
            </c:strRef>
          </c:tx>
          <c:marker>
            <c:symbol val="none"/>
          </c:marker>
          <c:cat>
            <c:strRef>
              <c:f>Plan1!$A$46:$A$52</c:f>
              <c:strCache>
                <c:ptCount val="7"/>
                <c:pt idx="0">
                  <c:v>Test</c:v>
                </c:pt>
                <c:pt idx="1">
                  <c:v>Quím</c:v>
                </c:pt>
                <c:pt idx="2">
                  <c:v>3%</c:v>
                </c:pt>
                <c:pt idx="3">
                  <c:v>6%</c:v>
                </c:pt>
                <c:pt idx="4">
                  <c:v>12%</c:v>
                </c:pt>
                <c:pt idx="5">
                  <c:v>25%</c:v>
                </c:pt>
                <c:pt idx="6">
                  <c:v>50%</c:v>
                </c:pt>
              </c:strCache>
            </c:strRef>
          </c:cat>
          <c:val>
            <c:numRef>
              <c:f>Plan1!$D$46:$D$52</c:f>
              <c:numCache>
                <c:formatCode>General</c:formatCode>
                <c:ptCount val="7"/>
                <c:pt idx="0">
                  <c:v>99.27</c:v>
                </c:pt>
                <c:pt idx="1">
                  <c:v>95.97</c:v>
                </c:pt>
                <c:pt idx="2">
                  <c:v>97.43</c:v>
                </c:pt>
                <c:pt idx="3">
                  <c:v>95.6</c:v>
                </c:pt>
                <c:pt idx="4">
                  <c:v>74.7</c:v>
                </c:pt>
                <c:pt idx="5">
                  <c:v>62.33</c:v>
                </c:pt>
                <c:pt idx="6">
                  <c:v>33.130000000000003</c:v>
                </c:pt>
              </c:numCache>
            </c:numRef>
          </c:val>
        </c:ser>
        <c:marker val="1"/>
        <c:axId val="65505536"/>
        <c:axId val="65524096"/>
      </c:lineChart>
      <c:catAx>
        <c:axId val="65505536"/>
        <c:scaling>
          <c:orientation val="minMax"/>
        </c:scaling>
        <c:axPos val="b"/>
        <c:title>
          <c:tx>
            <c:rich>
              <a:bodyPr/>
              <a:lstStyle/>
              <a:p>
                <a:pPr>
                  <a:defRPr/>
                </a:pPr>
                <a:r>
                  <a:rPr lang="pt-BR"/>
                  <a:t>Tratamentos</a:t>
                </a:r>
              </a:p>
            </c:rich>
          </c:tx>
        </c:title>
        <c:numFmt formatCode="General" sourceLinked="1"/>
        <c:majorTickMark val="none"/>
        <c:tickLblPos val="nextTo"/>
        <c:crossAx val="65524096"/>
        <c:crosses val="autoZero"/>
        <c:auto val="1"/>
        <c:lblAlgn val="ctr"/>
        <c:lblOffset val="100"/>
      </c:catAx>
      <c:valAx>
        <c:axId val="65524096"/>
        <c:scaling>
          <c:orientation val="minMax"/>
        </c:scaling>
        <c:axPos val="l"/>
        <c:title>
          <c:tx>
            <c:rich>
              <a:bodyPr/>
              <a:lstStyle/>
              <a:p>
                <a:pPr>
                  <a:defRPr/>
                </a:pPr>
                <a:r>
                  <a:rPr lang="pt-BR"/>
                  <a:t>% de larvas viáveis</a:t>
                </a:r>
              </a:p>
            </c:rich>
          </c:tx>
        </c:title>
        <c:numFmt formatCode="General" sourceLinked="1"/>
        <c:tickLblPos val="nextTo"/>
        <c:crossAx val="65505536"/>
        <c:crosses val="autoZero"/>
        <c:crossBetween val="between"/>
      </c:valAx>
    </c:plotArea>
    <c:legend>
      <c:legendPos val="r"/>
    </c:legend>
    <c:plotVisOnly val="1"/>
    <c:dispBlanksAs val="gap"/>
  </c:chart>
  <c:spPr>
    <a:ln>
      <a:solidFill>
        <a:schemeClr val="tx1"/>
      </a:solid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1</Pages>
  <Words>2922</Words>
  <Characters>15784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UFCG/CSTR</Company>
  <LinksUpToDate>false</LinksUpToDate>
  <CharactersWithSpaces>18669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Célia</dc:creator>
  <cp:keywords/>
  <dc:description/>
  <cp:lastModifiedBy>Cliente</cp:lastModifiedBy>
  <cp:revision>7</cp:revision>
  <cp:lastPrinted>2008-07-14T18:04:00Z</cp:lastPrinted>
  <dcterms:created xsi:type="dcterms:W3CDTF">2008-07-15T12:59:00Z</dcterms:created>
  <dcterms:modified xsi:type="dcterms:W3CDTF">2010-07-14T12:20:00Z</dcterms:modified>
</cp:coreProperties>
</file>